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AB" w:rsidRP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5061">
        <w:rPr>
          <w:rFonts w:ascii="Times New Roman" w:hAnsi="Times New Roman" w:cs="Times New Roman"/>
        </w:rPr>
        <w:t>Приложение</w:t>
      </w:r>
    </w:p>
    <w:p w:rsidR="00DC5061" w:rsidRP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5061">
        <w:rPr>
          <w:rFonts w:ascii="Times New Roman" w:hAnsi="Times New Roman" w:cs="Times New Roman"/>
        </w:rPr>
        <w:t>к постановлению администрации</w:t>
      </w:r>
    </w:p>
    <w:p w:rsidR="00DC5061" w:rsidRP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5061">
        <w:rPr>
          <w:rFonts w:ascii="Times New Roman" w:hAnsi="Times New Roman" w:cs="Times New Roman"/>
        </w:rPr>
        <w:t>муниципального района «</w:t>
      </w:r>
      <w:r w:rsidR="00DD17B9">
        <w:rPr>
          <w:rFonts w:ascii="Times New Roman" w:hAnsi="Times New Roman" w:cs="Times New Roman"/>
        </w:rPr>
        <w:t xml:space="preserve">Мещовский </w:t>
      </w:r>
      <w:r w:rsidRPr="00DC5061">
        <w:rPr>
          <w:rFonts w:ascii="Times New Roman" w:hAnsi="Times New Roman" w:cs="Times New Roman"/>
        </w:rPr>
        <w:t xml:space="preserve"> район»</w:t>
      </w:r>
    </w:p>
    <w:p w:rsidR="00DC5061" w:rsidRDefault="001D74CF" w:rsidP="00DC506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 2020</w:t>
      </w:r>
      <w:bookmarkStart w:id="0" w:name="_GoBack"/>
      <w:bookmarkEnd w:id="0"/>
      <w:r w:rsidR="00DC5061" w:rsidRPr="00DC5061">
        <w:rPr>
          <w:rFonts w:ascii="Times New Roman" w:hAnsi="Times New Roman" w:cs="Times New Roman"/>
        </w:rPr>
        <w:t xml:space="preserve"> года   № ____</w:t>
      </w:r>
    </w:p>
    <w:p w:rsidR="00DC5061" w:rsidRDefault="00DC5061" w:rsidP="00DC50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5061" w:rsidRPr="00DD17B9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5061" w:rsidRPr="00DD17B9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7B9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DC5061" w:rsidRPr="00DD17B9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7B9">
        <w:rPr>
          <w:rFonts w:ascii="Times New Roman" w:hAnsi="Times New Roman" w:cs="Times New Roman"/>
          <w:b/>
          <w:sz w:val="26"/>
          <w:szCs w:val="26"/>
        </w:rPr>
        <w:t>основных мероприятий по обеспечению безопасности людей на водных объектах, расположенных на территории муниципального района «</w:t>
      </w:r>
      <w:r w:rsidR="00DD17B9" w:rsidRPr="00DD17B9">
        <w:rPr>
          <w:rFonts w:ascii="Times New Roman" w:hAnsi="Times New Roman" w:cs="Times New Roman"/>
          <w:b/>
          <w:sz w:val="26"/>
          <w:szCs w:val="26"/>
        </w:rPr>
        <w:t>Мещовский</w:t>
      </w:r>
      <w:r w:rsidRPr="00DD17B9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DC5061" w:rsidRPr="00DD17B9" w:rsidRDefault="00DC5061" w:rsidP="00DD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194"/>
        <w:gridCol w:w="1505"/>
        <w:gridCol w:w="2200"/>
      </w:tblGrid>
      <w:tr w:rsidR="004E637D" w:rsidRPr="00DD17B9" w:rsidTr="002736C6">
        <w:tc>
          <w:tcPr>
            <w:tcW w:w="672" w:type="dxa"/>
          </w:tcPr>
          <w:p w:rsidR="00DC5061" w:rsidRPr="00DD17B9" w:rsidRDefault="00DC5061" w:rsidP="00DD17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:rsidR="00DC5061" w:rsidRPr="00DD17B9" w:rsidRDefault="00DC5061" w:rsidP="00DD17B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5194" w:type="dxa"/>
          </w:tcPr>
          <w:p w:rsidR="00DC5061" w:rsidRPr="00DD17B9" w:rsidRDefault="00DC5061" w:rsidP="00DD17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</w:t>
            </w:r>
          </w:p>
        </w:tc>
        <w:tc>
          <w:tcPr>
            <w:tcW w:w="1505" w:type="dxa"/>
          </w:tcPr>
          <w:p w:rsidR="00DC5061" w:rsidRPr="00DD17B9" w:rsidRDefault="00DC5061" w:rsidP="00DD17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2200" w:type="dxa"/>
          </w:tcPr>
          <w:p w:rsidR="00DC5061" w:rsidRPr="00DD17B9" w:rsidRDefault="00DC5061" w:rsidP="00DD17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Ответственные</w:t>
            </w:r>
            <w:proofErr w:type="gramEnd"/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за исполнение</w:t>
            </w:r>
          </w:p>
        </w:tc>
      </w:tr>
      <w:tr w:rsidR="003A0E08" w:rsidRPr="00DD17B9" w:rsidTr="005F2499">
        <w:tc>
          <w:tcPr>
            <w:tcW w:w="9571" w:type="dxa"/>
            <w:gridSpan w:val="4"/>
          </w:tcPr>
          <w:p w:rsidR="003A0E08" w:rsidRPr="00DD17B9" w:rsidRDefault="003A0E08" w:rsidP="00DD17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мероприятия в области обеспечения безопасности людей на водных объектах</w:t>
            </w:r>
          </w:p>
        </w:tc>
      </w:tr>
      <w:tr w:rsidR="004E637D" w:rsidRPr="00DD17B9" w:rsidTr="002736C6">
        <w:trPr>
          <w:trHeight w:val="1976"/>
        </w:trPr>
        <w:tc>
          <w:tcPr>
            <w:tcW w:w="672" w:type="dxa"/>
          </w:tcPr>
          <w:p w:rsidR="003A0E08" w:rsidRPr="00DD17B9" w:rsidRDefault="003A0E08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194" w:type="dxa"/>
          </w:tcPr>
          <w:p w:rsidR="003A0E08" w:rsidRPr="00DD17B9" w:rsidRDefault="003A0E08" w:rsidP="00DD17B9">
            <w:pPr>
              <w:shd w:val="clear" w:color="auto" w:fill="FFFFFF"/>
              <w:ind w:left="-5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Проведе</w:t>
            </w:r>
            <w:r w:rsidR="00563111" w:rsidRPr="00DD17B9">
              <w:rPr>
                <w:rFonts w:ascii="Times New Roman" w:hAnsi="Times New Roman" w:cs="Times New Roman"/>
                <w:sz w:val="23"/>
                <w:szCs w:val="23"/>
              </w:rPr>
              <w:t>ние заседания комиссии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 по чрезвычайным ситуациям и пожарной безопасности</w:t>
            </w:r>
            <w:r w:rsidR="00563111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при администрации муниципального района «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>Мещовский</w:t>
            </w:r>
            <w:r w:rsidR="00563111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район</w:t>
            </w:r>
            <w:r w:rsidR="00694E2A" w:rsidRPr="00DD17B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563111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с рассмотрением вопроса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3A0E08" w:rsidRPr="00DD17B9" w:rsidRDefault="003A0E08" w:rsidP="00DD17B9">
            <w:pPr>
              <w:shd w:val="clear" w:color="auto" w:fill="FFFFFF"/>
              <w:tabs>
                <w:tab w:val="left" w:pos="329"/>
              </w:tabs>
              <w:ind w:left="-5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      «О повышении эффективности мероприятий по предупреждению чрезвычайных ситуаций, связанных с безопасным поведением людей на водных объектах в период купального сезона».</w:t>
            </w:r>
          </w:p>
        </w:tc>
        <w:tc>
          <w:tcPr>
            <w:tcW w:w="1505" w:type="dxa"/>
          </w:tcPr>
          <w:p w:rsidR="003A0E08" w:rsidRPr="00DD17B9" w:rsidRDefault="003A0E08" w:rsidP="00DD17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По плану работы комиссии</w:t>
            </w:r>
          </w:p>
        </w:tc>
        <w:tc>
          <w:tcPr>
            <w:tcW w:w="2200" w:type="dxa"/>
          </w:tcPr>
          <w:p w:rsidR="003A0E08" w:rsidRPr="00DD17B9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КЧС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ПБ МР</w:t>
            </w:r>
          </w:p>
          <w:p w:rsidR="003A0E08" w:rsidRPr="00DD17B9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E637D" w:rsidRPr="00DD17B9" w:rsidTr="002736C6">
        <w:trPr>
          <w:trHeight w:val="1639"/>
        </w:trPr>
        <w:tc>
          <w:tcPr>
            <w:tcW w:w="672" w:type="dxa"/>
          </w:tcPr>
          <w:p w:rsidR="003A0E08" w:rsidRPr="00DD17B9" w:rsidRDefault="00563111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194" w:type="dxa"/>
          </w:tcPr>
          <w:p w:rsidR="003A0E08" w:rsidRPr="00DD17B9" w:rsidRDefault="00563111" w:rsidP="00DD17B9">
            <w:pPr>
              <w:shd w:val="clear" w:color="auto" w:fill="FFFFFF"/>
              <w:ind w:left="-5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заседания </w:t>
            </w:r>
            <w:r w:rsidR="003A0E08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комиссии по чрезвычайным ситуациям и пожарной безоп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асности</w:t>
            </w:r>
            <w:r w:rsidR="00694E2A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при администрации муниципального района «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>Мещовский</w:t>
            </w:r>
            <w:r w:rsidR="00694E2A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район»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с рассмотрением вопроса</w:t>
            </w:r>
            <w:r w:rsidR="003A0E08" w:rsidRPr="00DD17B9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3A0E08" w:rsidRPr="00DD17B9" w:rsidRDefault="003A0E08" w:rsidP="00DD17B9">
            <w:pPr>
              <w:shd w:val="clear" w:color="auto" w:fill="FFFFFF"/>
              <w:tabs>
                <w:tab w:val="num" w:pos="0"/>
              </w:tabs>
              <w:ind w:firstLine="25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«Об обеспечения безопасности людей на водных объектах Калужской области в </w:t>
            </w:r>
            <w:r w:rsidR="00563111" w:rsidRPr="00DD17B9">
              <w:rPr>
                <w:rFonts w:ascii="Times New Roman" w:hAnsi="Times New Roman" w:cs="Times New Roman"/>
                <w:sz w:val="23"/>
                <w:szCs w:val="23"/>
              </w:rPr>
              <w:t>период ледостава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505" w:type="dxa"/>
          </w:tcPr>
          <w:p w:rsidR="003A0E08" w:rsidRPr="00DD17B9" w:rsidRDefault="003A0E08" w:rsidP="00DD17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По плану работы комиссии</w:t>
            </w:r>
          </w:p>
        </w:tc>
        <w:tc>
          <w:tcPr>
            <w:tcW w:w="2200" w:type="dxa"/>
          </w:tcPr>
          <w:p w:rsidR="003A0E08" w:rsidRPr="00DD17B9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КЧС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ПБ МР</w:t>
            </w:r>
          </w:p>
          <w:p w:rsidR="003A0E08" w:rsidRPr="00DD17B9" w:rsidRDefault="003A0E08" w:rsidP="00DD17B9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E637D" w:rsidRPr="00DD17B9" w:rsidTr="002736C6">
        <w:tc>
          <w:tcPr>
            <w:tcW w:w="672" w:type="dxa"/>
          </w:tcPr>
          <w:p w:rsidR="003A0E08" w:rsidRPr="00DD17B9" w:rsidRDefault="00B96EC8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194" w:type="dxa"/>
          </w:tcPr>
          <w:p w:rsidR="003A0E08" w:rsidRPr="00DD17B9" w:rsidRDefault="00B96EC8" w:rsidP="00DD17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Установление зон рекреации, используемых для массового отдыха</w:t>
            </w:r>
            <w:r w:rsidR="002736C6" w:rsidRPr="00DD17B9">
              <w:rPr>
                <w:rFonts w:ascii="Times New Roman" w:hAnsi="Times New Roman" w:cs="Times New Roman"/>
                <w:sz w:val="23"/>
                <w:szCs w:val="23"/>
              </w:rPr>
              <w:t>, туризма и спорта на водных объектах, закрепление их за организациями (собственниками) в соответствии с действующим законодательством.</w:t>
            </w:r>
          </w:p>
        </w:tc>
        <w:tc>
          <w:tcPr>
            <w:tcW w:w="1505" w:type="dxa"/>
          </w:tcPr>
          <w:p w:rsidR="003A0E08" w:rsidRPr="00DD17B9" w:rsidRDefault="002736C6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при наличии</w:t>
            </w:r>
          </w:p>
        </w:tc>
        <w:tc>
          <w:tcPr>
            <w:tcW w:w="2200" w:type="dxa"/>
          </w:tcPr>
          <w:p w:rsidR="0025066B" w:rsidRDefault="002736C6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3A0E08" w:rsidRPr="00DD17B9" w:rsidRDefault="0025066B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  <w:r w:rsidR="002736C6" w:rsidRPr="00DD17B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736C6" w:rsidRPr="00DD17B9" w:rsidRDefault="002736C6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владельцы территорий </w:t>
            </w:r>
          </w:p>
          <w:p w:rsidR="002736C6" w:rsidRPr="00DD17B9" w:rsidRDefault="002736C6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4E637D" w:rsidRPr="00DD17B9" w:rsidTr="002736C6">
        <w:tc>
          <w:tcPr>
            <w:tcW w:w="672" w:type="dxa"/>
          </w:tcPr>
          <w:p w:rsidR="003A0E08" w:rsidRPr="00DD17B9" w:rsidRDefault="00B96EC8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194" w:type="dxa"/>
          </w:tcPr>
          <w:p w:rsidR="003A0E08" w:rsidRPr="00DD17B9" w:rsidRDefault="002736C6" w:rsidP="00DD17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купальному сезону мест организованного отдыха людей (пляжей) на водных объектах,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согласно Правил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охраны жизни людей на водных объектах на территории Калужской области (утверждены постановлением Правительства Калужской области от 21декабря 2005 года № 360)</w:t>
            </w:r>
            <w:r w:rsidR="004E637D" w:rsidRPr="00DD17B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05" w:type="dxa"/>
          </w:tcPr>
          <w:p w:rsidR="003A0E08" w:rsidRPr="004E79A1" w:rsidRDefault="001E097D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10</w:t>
            </w:r>
            <w:r w:rsidR="004E79A1" w:rsidRPr="004E79A1">
              <w:rPr>
                <w:rFonts w:ascii="Times New Roman" w:hAnsi="Times New Roman" w:cs="Times New Roman"/>
                <w:sz w:val="23"/>
                <w:szCs w:val="23"/>
              </w:rPr>
              <w:t xml:space="preserve"> июня</w:t>
            </w:r>
          </w:p>
        </w:tc>
        <w:tc>
          <w:tcPr>
            <w:tcW w:w="2200" w:type="dxa"/>
          </w:tcPr>
          <w:p w:rsidR="0025066B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DD17B9" w:rsidRPr="00DD17B9" w:rsidRDefault="0025066B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владельцы территорий </w:t>
            </w:r>
          </w:p>
          <w:p w:rsidR="003A0E08" w:rsidRPr="00DD17B9" w:rsidRDefault="00DD17B9" w:rsidP="00DD17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F57EBA" w:rsidRPr="00DD17B9" w:rsidTr="002736C6">
        <w:tc>
          <w:tcPr>
            <w:tcW w:w="672" w:type="dxa"/>
          </w:tcPr>
          <w:p w:rsidR="00F57EBA" w:rsidRPr="00DD17B9" w:rsidRDefault="00F57EBA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5.  </w:t>
            </w:r>
          </w:p>
        </w:tc>
        <w:tc>
          <w:tcPr>
            <w:tcW w:w="5194" w:type="dxa"/>
          </w:tcPr>
          <w:p w:rsidR="00F57EBA" w:rsidRPr="00DD17B9" w:rsidRDefault="00F57EBA" w:rsidP="00DD17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Изготовление и установка на необорудованных для отдыха и купания водоемах знаков о запрете купания.</w:t>
            </w:r>
          </w:p>
        </w:tc>
        <w:tc>
          <w:tcPr>
            <w:tcW w:w="1505" w:type="dxa"/>
          </w:tcPr>
          <w:p w:rsidR="00F57EBA" w:rsidRPr="004E79A1" w:rsidRDefault="001E097D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10</w:t>
            </w:r>
            <w:r w:rsidR="004E79A1" w:rsidRPr="004E79A1">
              <w:rPr>
                <w:rFonts w:ascii="Times New Roman" w:hAnsi="Times New Roman" w:cs="Times New Roman"/>
                <w:sz w:val="23"/>
                <w:szCs w:val="23"/>
              </w:rPr>
              <w:t xml:space="preserve"> июня</w:t>
            </w:r>
          </w:p>
        </w:tc>
        <w:tc>
          <w:tcPr>
            <w:tcW w:w="2200" w:type="dxa"/>
          </w:tcPr>
          <w:p w:rsidR="0025066B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DD17B9" w:rsidRPr="00DD17B9" w:rsidRDefault="0025066B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владельцы территорий 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F57EBA" w:rsidRPr="00DD17B9" w:rsidTr="002736C6">
        <w:tc>
          <w:tcPr>
            <w:tcW w:w="672" w:type="dxa"/>
          </w:tcPr>
          <w:p w:rsidR="00F57EBA" w:rsidRPr="00DD17B9" w:rsidRDefault="00F57EBA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5194" w:type="dxa"/>
          </w:tcPr>
          <w:p w:rsidR="00F57EBA" w:rsidRPr="00DD17B9" w:rsidRDefault="00F57EBA" w:rsidP="00DD17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Развертывание в местах организованного отдыха людей (пляжах) на водных объектах спасательных постов, пунктов медицинской помощи и организация охраны общественного порядка.</w:t>
            </w:r>
          </w:p>
        </w:tc>
        <w:tc>
          <w:tcPr>
            <w:tcW w:w="1505" w:type="dxa"/>
          </w:tcPr>
          <w:p w:rsidR="00F57EBA" w:rsidRPr="004E79A1" w:rsidRDefault="001E097D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10</w:t>
            </w:r>
            <w:r w:rsidR="004E79A1" w:rsidRPr="004E79A1">
              <w:rPr>
                <w:rFonts w:ascii="Times New Roman" w:hAnsi="Times New Roman" w:cs="Times New Roman"/>
                <w:sz w:val="23"/>
                <w:szCs w:val="23"/>
              </w:rPr>
              <w:t xml:space="preserve"> июня</w:t>
            </w:r>
          </w:p>
        </w:tc>
        <w:tc>
          <w:tcPr>
            <w:tcW w:w="2200" w:type="dxa"/>
          </w:tcPr>
          <w:p w:rsidR="0025066B" w:rsidRDefault="00DD17B9" w:rsidP="002506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DD17B9" w:rsidRPr="00DD17B9" w:rsidRDefault="0025066B" w:rsidP="0025066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владельцы территорий </w:t>
            </w:r>
          </w:p>
          <w:p w:rsidR="00F57EBA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  <w:r w:rsidR="00F57EBA" w:rsidRPr="00DD17B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57EBA" w:rsidRPr="00DD17B9" w:rsidRDefault="00F57EBA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руководители соответствующих органов</w:t>
            </w:r>
          </w:p>
          <w:p w:rsidR="00F57EBA" w:rsidRPr="00DD17B9" w:rsidRDefault="00F57EBA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034C04" w:rsidRPr="00DD17B9" w:rsidTr="00034C04">
        <w:trPr>
          <w:trHeight w:val="2178"/>
        </w:trPr>
        <w:tc>
          <w:tcPr>
            <w:tcW w:w="672" w:type="dxa"/>
          </w:tcPr>
          <w:p w:rsidR="00034C04" w:rsidRPr="00DD17B9" w:rsidRDefault="00034C04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194" w:type="dxa"/>
          </w:tcPr>
          <w:p w:rsidR="00034C04" w:rsidRPr="00DD17B9" w:rsidRDefault="00034C04" w:rsidP="00DD17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Проверка готовности к купальному сезону и подготовка к освидетельствованию мест организованного отдыха (пляжей) на пригодность к эксплуатации.</w:t>
            </w:r>
          </w:p>
        </w:tc>
        <w:tc>
          <w:tcPr>
            <w:tcW w:w="1505" w:type="dxa"/>
          </w:tcPr>
          <w:p w:rsidR="00034C04" w:rsidRPr="004E79A1" w:rsidRDefault="001E097D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10</w:t>
            </w:r>
            <w:r w:rsidR="004E79A1" w:rsidRPr="004E79A1">
              <w:rPr>
                <w:rFonts w:ascii="Times New Roman" w:hAnsi="Times New Roman" w:cs="Times New Roman"/>
                <w:sz w:val="23"/>
                <w:szCs w:val="23"/>
              </w:rPr>
              <w:t xml:space="preserve"> июня</w:t>
            </w:r>
          </w:p>
        </w:tc>
        <w:tc>
          <w:tcPr>
            <w:tcW w:w="2200" w:type="dxa"/>
          </w:tcPr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034C04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  <w:r w:rsidR="00034C04" w:rsidRPr="00DD17B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34C04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КЧС и ПБ</w:t>
            </w:r>
            <w:r w:rsidR="00034C04" w:rsidRPr="00DD17B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34C04" w:rsidRPr="00DD17B9" w:rsidRDefault="00034C04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владельцы территорий </w:t>
            </w:r>
          </w:p>
          <w:p w:rsidR="00034C04" w:rsidRPr="00DD17B9" w:rsidRDefault="00034C04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DD17B9" w:rsidRPr="00DD17B9" w:rsidTr="002736C6">
        <w:tc>
          <w:tcPr>
            <w:tcW w:w="672" w:type="dxa"/>
          </w:tcPr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194" w:type="dxa"/>
          </w:tcPr>
          <w:p w:rsidR="00DD17B9" w:rsidRPr="00DD17B9" w:rsidRDefault="00DD17B9" w:rsidP="00DD17B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Проведение месячника безопасности на воде и мероприятий до окончания купального сезона.</w:t>
            </w:r>
          </w:p>
        </w:tc>
        <w:tc>
          <w:tcPr>
            <w:tcW w:w="1505" w:type="dxa"/>
          </w:tcPr>
          <w:p w:rsidR="00DD17B9" w:rsidRPr="00DD17B9" w:rsidRDefault="00780C5D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по 3</w:t>
            </w:r>
            <w:r w:rsidR="001E097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8F788D">
              <w:rPr>
                <w:rFonts w:ascii="Times New Roman" w:hAnsi="Times New Roman" w:cs="Times New Roman"/>
                <w:sz w:val="23"/>
                <w:szCs w:val="23"/>
              </w:rPr>
              <w:t xml:space="preserve"> июн</w:t>
            </w:r>
            <w:r w:rsidR="00DD17B9"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я, 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далее до окончания купального сезона</w:t>
            </w:r>
          </w:p>
        </w:tc>
        <w:tc>
          <w:tcPr>
            <w:tcW w:w="2200" w:type="dxa"/>
          </w:tcPr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согласованию),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КЧС и ПБ,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владельцы территорий </w:t>
            </w:r>
          </w:p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DD17B9" w:rsidRPr="00DD17B9" w:rsidTr="002736C6">
        <w:tc>
          <w:tcPr>
            <w:tcW w:w="672" w:type="dxa"/>
          </w:tcPr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194" w:type="dxa"/>
          </w:tcPr>
          <w:p w:rsidR="00DD17B9" w:rsidRPr="00DD17B9" w:rsidRDefault="00DD17B9" w:rsidP="00567E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Проведение месячника безопасности в период ледостава и мероприятий до начала паводка.</w:t>
            </w:r>
          </w:p>
        </w:tc>
        <w:tc>
          <w:tcPr>
            <w:tcW w:w="1505" w:type="dxa"/>
          </w:tcPr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с 15 ноября по 15 декабря, далее до начала паводка</w:t>
            </w:r>
          </w:p>
        </w:tc>
        <w:tc>
          <w:tcPr>
            <w:tcW w:w="2200" w:type="dxa"/>
          </w:tcPr>
          <w:p w:rsid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согласованию),</w:t>
            </w:r>
          </w:p>
          <w:p w:rsidR="00DD17B9" w:rsidRPr="00DD17B9" w:rsidRDefault="00DD17B9" w:rsidP="00094B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КЧС и ПБ</w:t>
            </w:r>
          </w:p>
        </w:tc>
      </w:tr>
      <w:tr w:rsidR="00DD17B9" w:rsidRPr="00DD17B9" w:rsidTr="002736C6">
        <w:tc>
          <w:tcPr>
            <w:tcW w:w="672" w:type="dxa"/>
          </w:tcPr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194" w:type="dxa"/>
          </w:tcPr>
          <w:p w:rsidR="00DD17B9" w:rsidRPr="00DD17B9" w:rsidRDefault="00DD17B9" w:rsidP="00567E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Изготовление и установка запрещающих знаков в местах, где выход на лед запрещен.</w:t>
            </w:r>
          </w:p>
        </w:tc>
        <w:tc>
          <w:tcPr>
            <w:tcW w:w="1505" w:type="dxa"/>
          </w:tcPr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до начала ледостава</w:t>
            </w:r>
          </w:p>
        </w:tc>
        <w:tc>
          <w:tcPr>
            <w:tcW w:w="2200" w:type="dxa"/>
          </w:tcPr>
          <w:p w:rsidR="0025066B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Главы администраций </w:t>
            </w:r>
            <w:proofErr w:type="gramStart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городского</w:t>
            </w:r>
            <w:proofErr w:type="gramEnd"/>
            <w:r w:rsidRPr="00DD17B9">
              <w:rPr>
                <w:rFonts w:ascii="Times New Roman" w:hAnsi="Times New Roman" w:cs="Times New Roman"/>
                <w:sz w:val="23"/>
                <w:szCs w:val="23"/>
              </w:rPr>
              <w:t xml:space="preserve"> и сельских поселений</w:t>
            </w:r>
          </w:p>
          <w:p w:rsidR="00DD17B9" w:rsidRPr="00DD17B9" w:rsidRDefault="0025066B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  <w:r w:rsidR="00DD17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D17B9" w:rsidRPr="00DD17B9" w:rsidTr="002736C6">
        <w:tc>
          <w:tcPr>
            <w:tcW w:w="672" w:type="dxa"/>
          </w:tcPr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5194" w:type="dxa"/>
          </w:tcPr>
          <w:p w:rsidR="00DD17B9" w:rsidRPr="00DD17B9" w:rsidRDefault="00DD17B9" w:rsidP="00567E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профилактических мероприятий по предотвращению несчастных случаев на воде и обучению безопасному поведению на водных объектах.</w:t>
            </w:r>
          </w:p>
        </w:tc>
        <w:tc>
          <w:tcPr>
            <w:tcW w:w="1505" w:type="dxa"/>
          </w:tcPr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200" w:type="dxa"/>
          </w:tcPr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КЧС и ПБ,</w:t>
            </w:r>
          </w:p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МР</w:t>
            </w:r>
          </w:p>
        </w:tc>
      </w:tr>
      <w:tr w:rsidR="00DD17B9" w:rsidRPr="00DD17B9" w:rsidTr="002736C6">
        <w:tc>
          <w:tcPr>
            <w:tcW w:w="672" w:type="dxa"/>
          </w:tcPr>
          <w:p w:rsidR="00DD17B9" w:rsidRPr="00DD17B9" w:rsidRDefault="00DD17B9" w:rsidP="00DD17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5194" w:type="dxa"/>
          </w:tcPr>
          <w:p w:rsidR="00DD17B9" w:rsidRPr="00DD17B9" w:rsidRDefault="00DD17B9" w:rsidP="00567EA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Организация учета и анализа несчастных случаев на водных объектах.</w:t>
            </w:r>
          </w:p>
        </w:tc>
        <w:tc>
          <w:tcPr>
            <w:tcW w:w="1505" w:type="dxa"/>
          </w:tcPr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200" w:type="dxa"/>
          </w:tcPr>
          <w:p w:rsidR="00DD17B9" w:rsidRPr="00DD17B9" w:rsidRDefault="00DD17B9" w:rsidP="00567EA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17B9">
              <w:rPr>
                <w:rFonts w:ascii="Times New Roman" w:hAnsi="Times New Roman" w:cs="Times New Roman"/>
                <w:sz w:val="23"/>
                <w:szCs w:val="23"/>
              </w:rPr>
              <w:t>отдел по делам ГОЧС и МП</w:t>
            </w:r>
          </w:p>
        </w:tc>
      </w:tr>
    </w:tbl>
    <w:p w:rsidR="00DC5061" w:rsidRDefault="00DC5061" w:rsidP="00D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7B9" w:rsidRDefault="00DD17B9" w:rsidP="00DC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1CF" w:rsidRPr="00DD17B9" w:rsidRDefault="00DD17B9" w:rsidP="005021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17B9">
        <w:rPr>
          <w:rFonts w:ascii="Times New Roman" w:hAnsi="Times New Roman" w:cs="Times New Roman"/>
          <w:b/>
          <w:sz w:val="26"/>
          <w:szCs w:val="26"/>
        </w:rPr>
        <w:t>Начальник отдела по делам ГОЧС и МП</w:t>
      </w:r>
      <w:r w:rsidRPr="00DD17B9">
        <w:rPr>
          <w:rFonts w:ascii="Times New Roman" w:hAnsi="Times New Roman" w:cs="Times New Roman"/>
          <w:b/>
          <w:sz w:val="26"/>
          <w:szCs w:val="26"/>
        </w:rPr>
        <w:tab/>
      </w:r>
      <w:r w:rsidRPr="00DD17B9">
        <w:rPr>
          <w:rFonts w:ascii="Times New Roman" w:hAnsi="Times New Roman" w:cs="Times New Roman"/>
          <w:b/>
          <w:sz w:val="26"/>
          <w:szCs w:val="26"/>
        </w:rPr>
        <w:tab/>
      </w:r>
      <w:r w:rsidRPr="00DD17B9">
        <w:rPr>
          <w:rFonts w:ascii="Times New Roman" w:hAnsi="Times New Roman" w:cs="Times New Roman"/>
          <w:b/>
          <w:sz w:val="26"/>
          <w:szCs w:val="26"/>
        </w:rPr>
        <w:tab/>
      </w:r>
      <w:r w:rsidRPr="00DD17B9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DD17B9">
        <w:rPr>
          <w:rFonts w:ascii="Times New Roman" w:hAnsi="Times New Roman" w:cs="Times New Roman"/>
          <w:b/>
          <w:sz w:val="26"/>
          <w:szCs w:val="26"/>
        </w:rPr>
        <w:t>Е.Н. Бабанина</w:t>
      </w:r>
    </w:p>
    <w:sectPr w:rsidR="005021CF" w:rsidRPr="00DD17B9" w:rsidSect="005021CF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78A"/>
    <w:multiLevelType w:val="hybridMultilevel"/>
    <w:tmpl w:val="3DD6A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2A7"/>
    <w:rsid w:val="00006402"/>
    <w:rsid w:val="00017741"/>
    <w:rsid w:val="00022396"/>
    <w:rsid w:val="000309F8"/>
    <w:rsid w:val="00031E39"/>
    <w:rsid w:val="00034C04"/>
    <w:rsid w:val="00043037"/>
    <w:rsid w:val="000656A9"/>
    <w:rsid w:val="00066776"/>
    <w:rsid w:val="0007195D"/>
    <w:rsid w:val="000778DA"/>
    <w:rsid w:val="00092A18"/>
    <w:rsid w:val="00092E0C"/>
    <w:rsid w:val="00094B73"/>
    <w:rsid w:val="00096D0F"/>
    <w:rsid w:val="000B3DCA"/>
    <w:rsid w:val="000C401D"/>
    <w:rsid w:val="000D24E8"/>
    <w:rsid w:val="000E4FB2"/>
    <w:rsid w:val="000F13ED"/>
    <w:rsid w:val="000F32F8"/>
    <w:rsid w:val="00110F8E"/>
    <w:rsid w:val="00130AAF"/>
    <w:rsid w:val="00137702"/>
    <w:rsid w:val="0014022F"/>
    <w:rsid w:val="0014247F"/>
    <w:rsid w:val="001467E7"/>
    <w:rsid w:val="00147FC8"/>
    <w:rsid w:val="0015065F"/>
    <w:rsid w:val="00154850"/>
    <w:rsid w:val="00165C70"/>
    <w:rsid w:val="00167AB3"/>
    <w:rsid w:val="00181B3D"/>
    <w:rsid w:val="00183A2C"/>
    <w:rsid w:val="0018510C"/>
    <w:rsid w:val="00190680"/>
    <w:rsid w:val="001976DF"/>
    <w:rsid w:val="001A285C"/>
    <w:rsid w:val="001B236B"/>
    <w:rsid w:val="001B320F"/>
    <w:rsid w:val="001B6074"/>
    <w:rsid w:val="001D552A"/>
    <w:rsid w:val="001D55BC"/>
    <w:rsid w:val="001D74CF"/>
    <w:rsid w:val="001E016C"/>
    <w:rsid w:val="001E097D"/>
    <w:rsid w:val="001E3597"/>
    <w:rsid w:val="001F184E"/>
    <w:rsid w:val="002117CD"/>
    <w:rsid w:val="0025066B"/>
    <w:rsid w:val="00252261"/>
    <w:rsid w:val="00252D5E"/>
    <w:rsid w:val="002736C6"/>
    <w:rsid w:val="00276954"/>
    <w:rsid w:val="00277BE0"/>
    <w:rsid w:val="0028541E"/>
    <w:rsid w:val="00295957"/>
    <w:rsid w:val="002B1D2C"/>
    <w:rsid w:val="002D22DE"/>
    <w:rsid w:val="002D7D98"/>
    <w:rsid w:val="002E5E03"/>
    <w:rsid w:val="00333E59"/>
    <w:rsid w:val="003424FC"/>
    <w:rsid w:val="003778EB"/>
    <w:rsid w:val="003A0E08"/>
    <w:rsid w:val="003D300B"/>
    <w:rsid w:val="003D7B9A"/>
    <w:rsid w:val="003E7883"/>
    <w:rsid w:val="004248C8"/>
    <w:rsid w:val="00444325"/>
    <w:rsid w:val="00445E02"/>
    <w:rsid w:val="004622F8"/>
    <w:rsid w:val="00482DDD"/>
    <w:rsid w:val="00493DC4"/>
    <w:rsid w:val="004A0413"/>
    <w:rsid w:val="004B23F4"/>
    <w:rsid w:val="004B4B4B"/>
    <w:rsid w:val="004C5DB2"/>
    <w:rsid w:val="004D2D98"/>
    <w:rsid w:val="004D5B46"/>
    <w:rsid w:val="004D6DB8"/>
    <w:rsid w:val="004E455B"/>
    <w:rsid w:val="004E637D"/>
    <w:rsid w:val="004E79A1"/>
    <w:rsid w:val="005021CF"/>
    <w:rsid w:val="005126BD"/>
    <w:rsid w:val="0051795A"/>
    <w:rsid w:val="00524B94"/>
    <w:rsid w:val="00544F44"/>
    <w:rsid w:val="00560CB3"/>
    <w:rsid w:val="00563111"/>
    <w:rsid w:val="00577BC1"/>
    <w:rsid w:val="00583F1C"/>
    <w:rsid w:val="005B0889"/>
    <w:rsid w:val="005B0B4F"/>
    <w:rsid w:val="005B117C"/>
    <w:rsid w:val="005C37D0"/>
    <w:rsid w:val="005C784E"/>
    <w:rsid w:val="005D1AA7"/>
    <w:rsid w:val="005F0DAD"/>
    <w:rsid w:val="005F650E"/>
    <w:rsid w:val="00615FF6"/>
    <w:rsid w:val="00640913"/>
    <w:rsid w:val="00651941"/>
    <w:rsid w:val="006638DE"/>
    <w:rsid w:val="006728F0"/>
    <w:rsid w:val="006746D7"/>
    <w:rsid w:val="006823CC"/>
    <w:rsid w:val="006855D9"/>
    <w:rsid w:val="00694E2A"/>
    <w:rsid w:val="006A544B"/>
    <w:rsid w:val="006B0157"/>
    <w:rsid w:val="006B22D6"/>
    <w:rsid w:val="006B433C"/>
    <w:rsid w:val="006B65FD"/>
    <w:rsid w:val="006C011F"/>
    <w:rsid w:val="006C4FE8"/>
    <w:rsid w:val="006D3109"/>
    <w:rsid w:val="006D54DB"/>
    <w:rsid w:val="006D7B46"/>
    <w:rsid w:val="006E3E6A"/>
    <w:rsid w:val="006F3616"/>
    <w:rsid w:val="006F3BFB"/>
    <w:rsid w:val="006F73A9"/>
    <w:rsid w:val="00710622"/>
    <w:rsid w:val="00713598"/>
    <w:rsid w:val="007420E8"/>
    <w:rsid w:val="00753AE1"/>
    <w:rsid w:val="007564C9"/>
    <w:rsid w:val="00767B25"/>
    <w:rsid w:val="0077193D"/>
    <w:rsid w:val="00774B07"/>
    <w:rsid w:val="00780C5D"/>
    <w:rsid w:val="00783CAB"/>
    <w:rsid w:val="007A1202"/>
    <w:rsid w:val="007A17DF"/>
    <w:rsid w:val="007A6B99"/>
    <w:rsid w:val="007B1B75"/>
    <w:rsid w:val="007E2940"/>
    <w:rsid w:val="007F3795"/>
    <w:rsid w:val="007F481A"/>
    <w:rsid w:val="007F5094"/>
    <w:rsid w:val="00811567"/>
    <w:rsid w:val="008263F4"/>
    <w:rsid w:val="00840ED8"/>
    <w:rsid w:val="00842006"/>
    <w:rsid w:val="00882794"/>
    <w:rsid w:val="008B56E2"/>
    <w:rsid w:val="008C7ADB"/>
    <w:rsid w:val="008F20A1"/>
    <w:rsid w:val="008F46FE"/>
    <w:rsid w:val="008F788D"/>
    <w:rsid w:val="00915157"/>
    <w:rsid w:val="009405AB"/>
    <w:rsid w:val="0095401B"/>
    <w:rsid w:val="0096368A"/>
    <w:rsid w:val="00963970"/>
    <w:rsid w:val="009679A6"/>
    <w:rsid w:val="0097109D"/>
    <w:rsid w:val="0097521E"/>
    <w:rsid w:val="0098349C"/>
    <w:rsid w:val="00983E3A"/>
    <w:rsid w:val="00994EAA"/>
    <w:rsid w:val="00995FA4"/>
    <w:rsid w:val="009A670B"/>
    <w:rsid w:val="009B2780"/>
    <w:rsid w:val="009B3F0D"/>
    <w:rsid w:val="009B5C18"/>
    <w:rsid w:val="009D6141"/>
    <w:rsid w:val="009E4609"/>
    <w:rsid w:val="00A073CF"/>
    <w:rsid w:val="00A07FB7"/>
    <w:rsid w:val="00A21807"/>
    <w:rsid w:val="00A31B1A"/>
    <w:rsid w:val="00A42B6D"/>
    <w:rsid w:val="00A53E02"/>
    <w:rsid w:val="00A54B0B"/>
    <w:rsid w:val="00A55375"/>
    <w:rsid w:val="00A60037"/>
    <w:rsid w:val="00A63D5C"/>
    <w:rsid w:val="00A675AF"/>
    <w:rsid w:val="00A67A2A"/>
    <w:rsid w:val="00A70A2F"/>
    <w:rsid w:val="00A90269"/>
    <w:rsid w:val="00AA25AC"/>
    <w:rsid w:val="00AB57DE"/>
    <w:rsid w:val="00AB5BFD"/>
    <w:rsid w:val="00AC6C83"/>
    <w:rsid w:val="00AD1CD6"/>
    <w:rsid w:val="00AD4EDF"/>
    <w:rsid w:val="00B120B3"/>
    <w:rsid w:val="00B17257"/>
    <w:rsid w:val="00B211ED"/>
    <w:rsid w:val="00B37304"/>
    <w:rsid w:val="00B555EB"/>
    <w:rsid w:val="00B64AF6"/>
    <w:rsid w:val="00B74445"/>
    <w:rsid w:val="00B75DD5"/>
    <w:rsid w:val="00B80359"/>
    <w:rsid w:val="00B806A0"/>
    <w:rsid w:val="00B85AD8"/>
    <w:rsid w:val="00B90DC7"/>
    <w:rsid w:val="00B96EC8"/>
    <w:rsid w:val="00BB3095"/>
    <w:rsid w:val="00BB75F8"/>
    <w:rsid w:val="00BE720E"/>
    <w:rsid w:val="00BF0750"/>
    <w:rsid w:val="00C049BF"/>
    <w:rsid w:val="00C2752C"/>
    <w:rsid w:val="00C33C9E"/>
    <w:rsid w:val="00C51E89"/>
    <w:rsid w:val="00C5487E"/>
    <w:rsid w:val="00C618AD"/>
    <w:rsid w:val="00C809AB"/>
    <w:rsid w:val="00C8440B"/>
    <w:rsid w:val="00CA0EF8"/>
    <w:rsid w:val="00CB0B3B"/>
    <w:rsid w:val="00CB3EDE"/>
    <w:rsid w:val="00CB6F9F"/>
    <w:rsid w:val="00CC2FC6"/>
    <w:rsid w:val="00CD4432"/>
    <w:rsid w:val="00CE342A"/>
    <w:rsid w:val="00CE5AEE"/>
    <w:rsid w:val="00D01043"/>
    <w:rsid w:val="00D06B59"/>
    <w:rsid w:val="00D26BF9"/>
    <w:rsid w:val="00D404F7"/>
    <w:rsid w:val="00D53FCE"/>
    <w:rsid w:val="00D546FB"/>
    <w:rsid w:val="00D556B6"/>
    <w:rsid w:val="00D57339"/>
    <w:rsid w:val="00D61749"/>
    <w:rsid w:val="00D62206"/>
    <w:rsid w:val="00D64BD6"/>
    <w:rsid w:val="00D73962"/>
    <w:rsid w:val="00D87085"/>
    <w:rsid w:val="00D878CA"/>
    <w:rsid w:val="00D9254F"/>
    <w:rsid w:val="00DB11A5"/>
    <w:rsid w:val="00DC117E"/>
    <w:rsid w:val="00DC5061"/>
    <w:rsid w:val="00DD17B9"/>
    <w:rsid w:val="00DE5824"/>
    <w:rsid w:val="00DF22A7"/>
    <w:rsid w:val="00DF57F9"/>
    <w:rsid w:val="00DF74CF"/>
    <w:rsid w:val="00E320A2"/>
    <w:rsid w:val="00E43341"/>
    <w:rsid w:val="00E526E7"/>
    <w:rsid w:val="00E6780F"/>
    <w:rsid w:val="00E753F5"/>
    <w:rsid w:val="00E827C8"/>
    <w:rsid w:val="00E82DD9"/>
    <w:rsid w:val="00E9163D"/>
    <w:rsid w:val="00E96EEA"/>
    <w:rsid w:val="00EB6EAD"/>
    <w:rsid w:val="00EC7EAE"/>
    <w:rsid w:val="00ED6C86"/>
    <w:rsid w:val="00EE4609"/>
    <w:rsid w:val="00EF613D"/>
    <w:rsid w:val="00F128AF"/>
    <w:rsid w:val="00F2043E"/>
    <w:rsid w:val="00F25D20"/>
    <w:rsid w:val="00F3759C"/>
    <w:rsid w:val="00F4145B"/>
    <w:rsid w:val="00F5134E"/>
    <w:rsid w:val="00F53BF4"/>
    <w:rsid w:val="00F57EBA"/>
    <w:rsid w:val="00F602FD"/>
    <w:rsid w:val="00F6187B"/>
    <w:rsid w:val="00F95FBA"/>
    <w:rsid w:val="00FB0A9D"/>
    <w:rsid w:val="00FB1ED7"/>
    <w:rsid w:val="00FC0520"/>
    <w:rsid w:val="00FC302E"/>
    <w:rsid w:val="00FD20FA"/>
    <w:rsid w:val="00FE0AC4"/>
    <w:rsid w:val="00FF381F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User13</cp:lastModifiedBy>
  <cp:revision>18</cp:revision>
  <cp:lastPrinted>2019-05-30T06:26:00Z</cp:lastPrinted>
  <dcterms:created xsi:type="dcterms:W3CDTF">2017-05-04T14:06:00Z</dcterms:created>
  <dcterms:modified xsi:type="dcterms:W3CDTF">2020-05-25T07:54:00Z</dcterms:modified>
</cp:coreProperties>
</file>