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93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</w:t>
      </w:r>
    </w:p>
    <w:p w:rsidR="00210B2B" w:rsidRPr="00210B2B" w:rsidRDefault="007F6B93" w:rsidP="00210B2B">
      <w:pPr>
        <w:spacing w:before="240" w:after="240"/>
        <w:ind w:left="-900" w:right="40"/>
        <w:rPr>
          <w:rFonts w:ascii="Times New Roman" w:eastAsia="Times New Roman" w:hAnsi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                                       </w:t>
      </w:r>
      <w:r w:rsidR="00210B2B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10B2B" w:rsidRPr="00210B2B">
        <w:rPr>
          <w:rFonts w:ascii="Times New Roman" w:eastAsia="Times New Roman" w:hAnsi="Times New Roman"/>
          <w:b/>
          <w:color w:val="000000"/>
          <w:sz w:val="32"/>
          <w:szCs w:val="32"/>
        </w:rPr>
        <w:t>ПОЯСНИТЕЛЬНАЯ ЗАПИСКА</w:t>
      </w:r>
    </w:p>
    <w:p w:rsidR="00747932" w:rsidRDefault="00210B2B" w:rsidP="00210B2B">
      <w:pPr>
        <w:spacing w:before="240" w:after="240"/>
        <w:ind w:left="-900" w:right="40"/>
        <w:rPr>
          <w:rFonts w:ascii="Times New Roman" w:eastAsia="Times New Roman" w:hAnsi="Times New Roman"/>
          <w:color w:val="000000"/>
          <w:sz w:val="24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371699">
        <w:rPr>
          <w:rFonts w:ascii="Times New Roman" w:eastAsia="Times New Roman" w:hAnsi="Times New Roman"/>
          <w:color w:val="000000"/>
          <w:sz w:val="24"/>
        </w:rPr>
        <w:t xml:space="preserve">   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210B2B" w:rsidRPr="00210B2B" w:rsidRDefault="00747932" w:rsidP="00210B2B">
      <w:pPr>
        <w:spacing w:before="240" w:after="240"/>
        <w:ind w:left="-900" w:right="40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               </w:t>
      </w:r>
      <w:r w:rsidR="00213E2E">
        <w:rPr>
          <w:rFonts w:ascii="Times New Roman" w:eastAsia="Times New Roman" w:hAnsi="Times New Roman"/>
          <w:color w:val="000000"/>
          <w:sz w:val="24"/>
        </w:rPr>
        <w:t xml:space="preserve">    </w:t>
      </w:r>
      <w:r w:rsidR="00210B2B" w:rsidRPr="00210B2B">
        <w:rPr>
          <w:rFonts w:ascii="Times New Roman" w:eastAsia="Times New Roman" w:hAnsi="Times New Roman"/>
          <w:b/>
          <w:color w:val="000000"/>
          <w:sz w:val="24"/>
        </w:rPr>
        <w:t>ДОХОДЫ              </w:t>
      </w:r>
    </w:p>
    <w:p w:rsidR="001E2502" w:rsidRPr="001E2502" w:rsidRDefault="00210B2B" w:rsidP="001E2502">
      <w:pPr>
        <w:spacing w:before="240" w:after="240"/>
        <w:ind w:left="-900" w:right="40"/>
      </w:pPr>
      <w:r>
        <w:rPr>
          <w:rFonts w:ascii="Times New Roman" w:eastAsia="Times New Roman" w:hAnsi="Times New Roman"/>
          <w:color w:val="000000"/>
          <w:sz w:val="24"/>
        </w:rPr>
        <w:t>            </w:t>
      </w:r>
      <w:r w:rsidR="000C394E" w:rsidRPr="000C394E">
        <w:rPr>
          <w:rFonts w:ascii="Times New Roman" w:eastAsia="Times New Roman" w:hAnsi="Times New Roman"/>
          <w:color w:val="000000"/>
          <w:sz w:val="24"/>
        </w:rPr>
        <w:t>       </w:t>
      </w:r>
      <w:r w:rsidR="001E2502" w:rsidRPr="001E2502">
        <w:rPr>
          <w:rFonts w:ascii="Times New Roman" w:eastAsia="Times New Roman" w:hAnsi="Times New Roman"/>
          <w:color w:val="000000"/>
          <w:sz w:val="24"/>
        </w:rPr>
        <w:t>                </w:t>
      </w:r>
    </w:p>
    <w:p w:rsidR="00213E2E" w:rsidRPr="00213E2E" w:rsidRDefault="00747932">
      <w:pPr>
        <w:spacing w:before="240" w:after="240"/>
        <w:ind w:right="-220"/>
        <w:rPr>
          <w:rFonts w:ascii="Times New Roman" w:eastAsia="Times New Roman" w:hAnsi="Times New Roman" w:cs="Times New Roman"/>
          <w:sz w:val="24"/>
          <w:szCs w:val="24"/>
        </w:rPr>
      </w:pPr>
      <w:r w:rsidRPr="00747932">
        <w:rPr>
          <w:rFonts w:ascii="Times New Roman" w:eastAsia="Times New Roman" w:hAnsi="Times New Roman"/>
          <w:color w:val="000000"/>
          <w:sz w:val="24"/>
        </w:rPr>
        <w:t>               </w:t>
      </w:r>
      <w:r w:rsidR="00213E2E"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  Доходы бюджета муниципального образования городского поселения "Город Мещовск" на 2021 год запланированы в сумме 36 291 856,74 рублей, исполнены за 1 полугодие 2021 года в сумме 16 089 655,93 рублей или выполнение составляет 44,3% от годового плана. Собственные доходы запланированы в сумме 20 120 601,00 рубль, поступили в сумме 9 906 900,21 рублей, выполнение составляет 49,2 %, в том числе: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- Налог на доходы физических лиц запланирован в сумме 5 400 000 рублей, поступило 3 081 345,38 рублей, что составляет 57,1% от годового плана. Доля в собственных доходах составляет 31,1%; 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 Акцизы по подакцизным товарам (продукции) производимым на территории Российской Федерации  запланированы в сумме 3 002 101,00 рубль, поступило 1 565 643,32 рублей или 52,2% выполнения годового плана. Доля в собственных доходах составляет 15,8%;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Налог, взимаемый в связи с применением упрощённой системой налогообложения, запланирован в сумме - 4 800 000 рублей, поступило 3 768 868,47 рублей или 78,5%  выполнения  годового плана. Доля в собственных доходах составляет 38,0%;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-Единый сельскохозяйственный налог запланирован в сумме 30 000 рублей, поступило 6 576,00 рублей или 21,9%  выполнения  годового плана. Доля в собственных доходах составляет 0,1%;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ind w:right="-1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 Налог на имущество физических лиц запланирован в сумме 570 000 рублей, поступил в сумме 130 884,39 рублей или 23,0% выполнения  годового плана. Доля в собственных доходах составляет 1,3%;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-Земельный налог запланирован в сумме 5 000 000 рублей, поступило 836 583,59 рублей или 16,7%  от  годового плана. Доля в собственных доходах составляет 8,5%;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-Доходы, получаемые в виде арендной платы за земельные участки, запланированы в сумме -650 000 рублей, поступили в сумме 208 379,02 рублей или 32,1% выполнения годового плана. Доля в собственных доходах  составляет 2,1%;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 Прочие доходы от оказания платных услуг (работ) получателями средств бюджетов городских поселений запланированы в сумме - 10 000,00 рублей, поступления отсутствуют;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 Доходы от компенсации затрат государства план -125 000,00 рублей, поступило  21 364,47 рублей или 17,1% выполнения годового плана. Доля в собственных доходах составляет -0,2%;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-Доходы от продажи земельных участков, находящихся в государственной и муниципальной собственности план 400 000,00 рублей, поступило 246 035,49 рублей или 61,5% от  годового плана. Доля в собственных доходах составляет 2,5%;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-Штрафы поступили в сумме 8 390,38 рублей, что составляет 0,1% от собственных доходов.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-Неналоговые доходы запланированы в сумме 78 000,00 рублей, поступили в сумме 32 829,70 рублей или 42,1% выполнения годового плана. Доля в собственных доходах составляет 0,3%.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-Инициативные платежи, зачисляемые в бюджеты городских поселений запланированы в сумме 55 500,00 рублей, поступления отсутствуют.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Безвозмездные поступления от других бюджетов бюджетной системы РФ запланированы в сумме 16 171 255,74 рублей, поступили в сумме 6 182 755,72 рублей или 38,2% выполнения  годового плана, к общему поступлению доходов за 1 полугодие 2021 года их доля составляет 38,4%, в том числе: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-Дотации бюджетам городских поселений на выравнивание уровня бюджетной обеспеченности поступили в сумме 5 120 352,00 рубля, что составляет 50,0%  выполнения  годового плана;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-Прочие дотации бюджетам городских поселений поступили в сумме 732 600,00 рублей, что составляет 100,0% выполнения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-Субсидии бюджетам бюджетной системы Российской Федерации на реализацию программ формирования современной городской среды запланированы в сумме 3 859 358,54 рублей, поступили в сумме 168 268,13 рублей,</w:t>
      </w:r>
      <w:r w:rsidR="00210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составляет 4,4%  выполнения  годового плана;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 -Прочие субсидии бюджетам муниципальных образований на разработку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 запланированы в сумме 50 000,00 рублей, поступили в сумме 19 784,70 рублей</w:t>
      </w:r>
      <w:r w:rsidR="003F45D9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bookmarkStart w:id="0" w:name="_GoBack"/>
      <w:bookmarkEnd w:id="0"/>
      <w:r w:rsidR="002103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что составляет 39,6%  выполнения  годового плана;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-Прочие субсидии бюджетам муниципальных образований на реализацию проектов развития общественной инфраструктуры муниципальных образований, основанных на местных инициативах запланированы в сумме 893 489,20 рублей, поступления отсут</w:t>
      </w:r>
      <w:r w:rsidR="0021036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вуют. 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 Субвенции бюджетам городских поселений на осуществление первичного воинского учёта на территориях, где отсутствуют военные комиссариаты поступили в сумме 141 750,89 рублей, что составляет  35,9% выполнения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Расходная часть бюджета на 2021 год запланирована в сумме 36 291 856,74 рублей, исполнена в сумме 8 059 429,43 рублей, что составляет 22,2 %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целевой статье депутаты представительного органа муниципального образования исполнены в сумме 74 907,28 рублей, что составляет 27,1%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Расходы по целевой статье проведение выборов и референдумов в1 полугодии 2021 года не производились. 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Средства резервного фонда в 1 полугодии 2021 года израсходованы в сумме 24 064,00 рублей, что составляет 8,6% от общего объема резервного фонда.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на осуществление первичного воинского учёта за  1 полугодие 2021 года исполнены в сумме 141 750,89 рублей, что составляет 35,9% от доведённого годового  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"Безопасность жизнедеятельности на территории ГП "Город Мещовск" не производились.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  по муниципальной программе "Развитие дорожного хозяйства на территории городского поселения "Город Мещовск" исполнены за 1 полугодие 2021 года в сумме 1 353 836,22 рублей, что составляет 15,0 %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"Управление имущественным комплексом в городском поселении "Город Мещовск" за 1 полугодие 2021 года исполнены в сумме 139 580,25 рублей, что составляет 38,6% от доведённого годового  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"Развитие потребительской кооперации на территории городского поселения "Город Мещовск" за 1 полугодие 2021 года исполнены в сумме 17 500,00 рублей, что составляет 25,0% от доведённого годового  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 по муниципальной программе "Обеспечение доступным и комфортным жильём и коммунальными услугами населения ГП "Город Мещовск" исполнены за 1полугодие 2021 года в сумме 1 193 395,06 рублей, что составляет 79,7%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"Формирование современной городской среды муниципального образования городское поселение "Город Мещовск" на 2018-2024 годы" исполнены за 1 полугодие 2021 года в сумме 201 200,00 рублей, что составляет 4,9%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"Благоустройство территории городского поселения "Город Мещовск" составили 4 016 082,25 рублей, что составляет 24,4% от доведённого годового плана, в том числе: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на освещение улиц составили 1 158 511,96 рублей, что составляет 34,9% от доведённого годового плана;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озеленению территорий городского поселения "Город Мещовск" составили 325 600,00 рублей, что составляет 65,1% от доведённого годового плана;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содержанию мест захоронения составили 3 000,00 рублей, что составляет 61,6% от доведённого годового плана;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-Расходы по поддержанию и улучшению санитарного и эстетического состояния территории составили 2 528 970,29 рублей, что составляет 21,7%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Расходы по муниципальной программе городского поселения "Город Мещовск" "Развитие культуры в городском поселении "Город Мещовск" составили 872 150,83 рублей, что составляет 34,0%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Межбюджетные трансферты на исполнение полномочий на создание условий для организации досуга и обеспечения жителей поселения услугами организаций культуры (в части оплаты </w:t>
      </w: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жилищно- коммунальных услуг работникам культуры) исполнены в сумме 24 962,65 рублей, что составляет 49,9% от доведённого годового плана.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Расходы по мероприятию "Обеспечение условий для развития на территории поселения физической культуры и массового спорта"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в 1 полугодии 2021 года не производились.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213E2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13E2E" w:rsidRPr="00213E2E" w:rsidRDefault="00213E2E" w:rsidP="00213E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E w:val="0"/>
        <w:autoSpaceDN w:val="0"/>
        <w:adjustRightInd w:val="0"/>
        <w:rPr>
          <w:rFonts w:eastAsia="Times New Roman" w:cs="Times New Roman"/>
          <w:szCs w:val="22"/>
        </w:rPr>
      </w:pPr>
      <w:r w:rsidRPr="00213E2E">
        <w:rPr>
          <w:rFonts w:eastAsia="Times New Roman" w:cs="Times New Roman"/>
          <w:color w:val="000000"/>
          <w:szCs w:val="22"/>
        </w:rPr>
        <w:t> </w:t>
      </w:r>
    </w:p>
    <w:tbl>
      <w:tblPr>
        <w:tblStyle w:val="1"/>
        <w:tblW w:w="13771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1"/>
        <w:gridCol w:w="4017"/>
        <w:gridCol w:w="953"/>
      </w:tblGrid>
      <w:tr w:rsidR="00210B2B" w:rsidTr="00411136"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 </w:t>
            </w:r>
            <w:r w:rsidR="00DC7C8F">
              <w:rPr>
                <w:rFonts w:ascii="Times New Roman" w:eastAsia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/>
        </w:tc>
      </w:tr>
      <w:tr w:rsidR="00210B2B" w:rsidTr="00411136">
        <w:trPr>
          <w:trHeight w:val="280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210B2B" w:rsidP="00411136">
            <w:pPr>
              <w:rPr>
                <w:sz w:val="24"/>
                <w:szCs w:val="24"/>
              </w:rPr>
            </w:pP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– заведующий</w:t>
            </w: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отделом городского хозяйства        ______________                Н.Х.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>Лаврикова</w:t>
            </w:r>
            <w:proofErr w:type="spellEnd"/>
            <w:r w:rsidRPr="004111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1136" w:rsidRPr="00411136" w:rsidRDefault="00411136" w:rsidP="0041113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sz w:val="24"/>
                <w:szCs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Pr="00411136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Pr="00411136" w:rsidRDefault="00DC7C8F" w:rsidP="0041113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Гл. </w:t>
            </w:r>
            <w:r w:rsidR="00411136" w:rsidRPr="00411136">
              <w:rPr>
                <w:rFonts w:ascii="Times New Roman" w:eastAsia="Times New Roman" w:hAnsi="Times New Roman"/>
                <w:sz w:val="24"/>
                <w:szCs w:val="24"/>
              </w:rPr>
              <w:t>специалист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</w:t>
            </w:r>
            <w:r w:rsidR="00411136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</w:t>
            </w:r>
            <w:r w:rsidR="00411136">
              <w:rPr>
                <w:rFonts w:ascii="Times New Roman" w:eastAsia="Times New Roman" w:hAnsi="Times New Roman"/>
                <w:sz w:val="24"/>
                <w:szCs w:val="24"/>
              </w:rPr>
              <w:t xml:space="preserve">  М.С. </w:t>
            </w:r>
            <w:r w:rsidRPr="00411136">
              <w:rPr>
                <w:rFonts w:ascii="Times New Roman" w:eastAsia="Times New Roman" w:hAnsi="Times New Roman"/>
                <w:sz w:val="24"/>
                <w:szCs w:val="24"/>
              </w:rPr>
              <w:t>Егорова</w:t>
            </w: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13771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10B2B" w:rsidRDefault="00210B2B" w:rsidP="00446798">
            <w:pPr>
              <w:rPr>
                <w:sz w:val="24"/>
              </w:rPr>
            </w:pPr>
          </w:p>
        </w:tc>
      </w:tr>
      <w:tr w:rsidR="00210B2B" w:rsidTr="00411136">
        <w:trPr>
          <w:trHeight w:val="281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10B2B" w:rsidTr="00411136">
        <w:trPr>
          <w:trHeight w:val="449"/>
        </w:trPr>
        <w:tc>
          <w:tcPr>
            <w:tcW w:w="88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B2B" w:rsidRDefault="00210B2B" w:rsidP="00446798">
            <w:pPr>
              <w:rPr>
                <w:sz w:val="24"/>
              </w:rPr>
            </w:pPr>
          </w:p>
        </w:tc>
      </w:tr>
    </w:tbl>
    <w:p w:rsidR="00210B2B" w:rsidRDefault="00210B2B" w:rsidP="00210B2B">
      <w:r>
        <w:rPr>
          <w:rFonts w:ascii="Times New Roman" w:eastAsia="Times New Roman" w:hAnsi="Times New Roman"/>
          <w:sz w:val="24"/>
        </w:rPr>
        <w:t xml:space="preserve">         </w:t>
      </w:r>
    </w:p>
    <w:p w:rsidR="000E1A23" w:rsidRDefault="000E1A23"/>
    <w:sectPr w:rsidR="000E1A23" w:rsidSect="009506A8">
      <w:pgSz w:w="12240" w:h="15840"/>
      <w:pgMar w:top="247" w:right="758" w:bottom="1700" w:left="1133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2B"/>
    <w:rsid w:val="000C394E"/>
    <w:rsid w:val="000E1A23"/>
    <w:rsid w:val="00147858"/>
    <w:rsid w:val="001E2502"/>
    <w:rsid w:val="00210368"/>
    <w:rsid w:val="00210B2B"/>
    <w:rsid w:val="00213E2E"/>
    <w:rsid w:val="00371699"/>
    <w:rsid w:val="003F45D9"/>
    <w:rsid w:val="00411136"/>
    <w:rsid w:val="006471CD"/>
    <w:rsid w:val="00747932"/>
    <w:rsid w:val="007F6B93"/>
    <w:rsid w:val="009506A8"/>
    <w:rsid w:val="009D505A"/>
    <w:rsid w:val="00DB3223"/>
    <w:rsid w:val="00DC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B2B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rsid w:val="00210B2B"/>
    <w:pPr>
      <w:spacing w:after="0" w:line="240" w:lineRule="auto"/>
    </w:pPr>
    <w:rPr>
      <w:rFonts w:ascii="Calibri" w:eastAsia="Calibri" w:hAnsi="Calibri" w:cs="Calibri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B32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23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2020-10-19T13:10:00Z</cp:lastPrinted>
  <dcterms:created xsi:type="dcterms:W3CDTF">2020-07-13T09:10:00Z</dcterms:created>
  <dcterms:modified xsi:type="dcterms:W3CDTF">2021-07-12T07:50:00Z</dcterms:modified>
</cp:coreProperties>
</file>