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0D" w:rsidRPr="00C82C0D" w:rsidRDefault="00C82C0D" w:rsidP="00C82C0D">
      <w:pPr>
        <w:widowControl w:val="0"/>
        <w:autoSpaceDE w:val="0"/>
        <w:autoSpaceDN w:val="0"/>
        <w:adjustRightInd w:val="0"/>
        <w:jc w:val="right"/>
        <w:outlineLvl w:val="0"/>
        <w:rPr>
          <w:b w:val="0"/>
        </w:rPr>
      </w:pPr>
      <w:bookmarkStart w:id="0" w:name="Par101"/>
      <w:bookmarkEnd w:id="0"/>
      <w:r w:rsidRPr="00C82C0D">
        <w:rPr>
          <w:b w:val="0"/>
        </w:rPr>
        <w:t>Приложение 1</w:t>
      </w:r>
    </w:p>
    <w:p w:rsidR="00C82C0D" w:rsidRDefault="00AB6427" w:rsidP="00C82C0D">
      <w:pPr>
        <w:pStyle w:val="ab"/>
        <w:jc w:val="right"/>
        <w:rPr>
          <w:rFonts w:ascii="Times New Roman" w:hAnsi="Times New Roman"/>
          <w:sz w:val="26"/>
          <w:szCs w:val="26"/>
        </w:rPr>
      </w:pPr>
      <w:r>
        <w:rPr>
          <w:rFonts w:ascii="Times New Roman" w:hAnsi="Times New Roman"/>
          <w:sz w:val="26"/>
          <w:szCs w:val="26"/>
        </w:rPr>
        <w:t>к Положению об оплате труда и премировании</w:t>
      </w:r>
    </w:p>
    <w:p w:rsidR="00AB6427" w:rsidRDefault="00AB6427" w:rsidP="00C82C0D">
      <w:pPr>
        <w:pStyle w:val="ab"/>
        <w:jc w:val="right"/>
        <w:rPr>
          <w:rFonts w:ascii="Times New Roman" w:hAnsi="Times New Roman"/>
          <w:sz w:val="26"/>
          <w:szCs w:val="26"/>
        </w:rPr>
      </w:pPr>
      <w:r>
        <w:rPr>
          <w:rFonts w:ascii="Times New Roman" w:hAnsi="Times New Roman"/>
          <w:sz w:val="26"/>
          <w:szCs w:val="26"/>
        </w:rPr>
        <w:t>работников муниципального казённого учреждения</w:t>
      </w:r>
    </w:p>
    <w:p w:rsidR="00AB6427" w:rsidRPr="00C82C0D" w:rsidRDefault="00AB6427" w:rsidP="00C82C0D">
      <w:pPr>
        <w:pStyle w:val="ab"/>
        <w:jc w:val="right"/>
        <w:rPr>
          <w:rFonts w:ascii="Times New Roman" w:hAnsi="Times New Roman"/>
          <w:sz w:val="26"/>
          <w:szCs w:val="26"/>
        </w:rPr>
      </w:pPr>
      <w:r>
        <w:rPr>
          <w:rFonts w:ascii="Times New Roman" w:hAnsi="Times New Roman"/>
          <w:sz w:val="26"/>
          <w:szCs w:val="26"/>
        </w:rPr>
        <w:t>Единая дежурно-диспетчерская служба</w:t>
      </w:r>
    </w:p>
    <w:p w:rsidR="00C82C0D" w:rsidRPr="00C82C0D" w:rsidRDefault="00AB6427" w:rsidP="00C82C0D">
      <w:pPr>
        <w:pStyle w:val="ab"/>
        <w:jc w:val="right"/>
        <w:rPr>
          <w:rFonts w:ascii="Times New Roman" w:hAnsi="Times New Roman"/>
          <w:sz w:val="26"/>
          <w:szCs w:val="26"/>
        </w:rPr>
      </w:pPr>
      <w:r>
        <w:rPr>
          <w:rFonts w:ascii="Times New Roman" w:hAnsi="Times New Roman"/>
          <w:sz w:val="26"/>
          <w:szCs w:val="26"/>
        </w:rPr>
        <w:t xml:space="preserve"> </w:t>
      </w:r>
    </w:p>
    <w:p w:rsidR="00C82C0D" w:rsidRPr="00C82C0D" w:rsidRDefault="00AB6427" w:rsidP="00C82C0D">
      <w:pPr>
        <w:pStyle w:val="ab"/>
        <w:jc w:val="right"/>
        <w:rPr>
          <w:rFonts w:ascii="Times New Roman" w:hAnsi="Times New Roman"/>
          <w:sz w:val="26"/>
          <w:szCs w:val="26"/>
        </w:rPr>
      </w:pPr>
      <w:r>
        <w:rPr>
          <w:rFonts w:ascii="Times New Roman" w:hAnsi="Times New Roman"/>
          <w:sz w:val="26"/>
          <w:szCs w:val="26"/>
        </w:rPr>
        <w:t xml:space="preserve">  </w:t>
      </w:r>
    </w:p>
    <w:p w:rsidR="00C82C0D" w:rsidRPr="00C82C0D" w:rsidRDefault="00AB6427" w:rsidP="00C82C0D">
      <w:pPr>
        <w:pStyle w:val="ConsPlusTitle"/>
        <w:jc w:val="center"/>
        <w:rPr>
          <w:sz w:val="26"/>
          <w:szCs w:val="26"/>
        </w:rPr>
      </w:pPr>
      <w:r>
        <w:rPr>
          <w:sz w:val="26"/>
          <w:szCs w:val="26"/>
        </w:rPr>
        <w:t>Р</w:t>
      </w:r>
      <w:r w:rsidR="00C82C0D" w:rsidRPr="00C82C0D">
        <w:rPr>
          <w:sz w:val="26"/>
          <w:szCs w:val="26"/>
        </w:rPr>
        <w:t>АЗМЕРЫ</w:t>
      </w:r>
    </w:p>
    <w:p w:rsidR="00C82C0D" w:rsidRPr="00C82C0D" w:rsidRDefault="00C82C0D" w:rsidP="00C82C0D">
      <w:pPr>
        <w:pStyle w:val="ConsPlusTitle"/>
        <w:jc w:val="center"/>
        <w:rPr>
          <w:sz w:val="26"/>
          <w:szCs w:val="26"/>
        </w:rPr>
      </w:pPr>
      <w:r w:rsidRPr="00C82C0D">
        <w:rPr>
          <w:sz w:val="26"/>
          <w:szCs w:val="26"/>
        </w:rPr>
        <w:t>БАЗОВЫХ ОКЛАДОВ РАБОТНИКОВ УЧРЕЖДЕНИЯ</w:t>
      </w:r>
    </w:p>
    <w:p w:rsidR="00C82C0D" w:rsidRPr="00C82C0D" w:rsidRDefault="00C82C0D" w:rsidP="00C82C0D">
      <w:pPr>
        <w:widowControl w:val="0"/>
        <w:autoSpaceDE w:val="0"/>
        <w:autoSpaceDN w:val="0"/>
        <w:adjustRightInd w:val="0"/>
      </w:pPr>
    </w:p>
    <w:p w:rsidR="00C82C0D" w:rsidRPr="00C82C0D" w:rsidRDefault="00C82C0D" w:rsidP="00C82C0D">
      <w:pPr>
        <w:widowControl w:val="0"/>
        <w:autoSpaceDE w:val="0"/>
        <w:autoSpaceDN w:val="0"/>
        <w:adjustRightInd w:val="0"/>
        <w:jc w:val="center"/>
        <w:rPr>
          <w:b w:val="0"/>
        </w:rPr>
      </w:pPr>
    </w:p>
    <w:p w:rsidR="00C82C0D" w:rsidRPr="00C82C0D" w:rsidRDefault="00C82C0D" w:rsidP="00C82C0D">
      <w:pPr>
        <w:widowControl w:val="0"/>
        <w:autoSpaceDE w:val="0"/>
        <w:autoSpaceDN w:val="0"/>
        <w:adjustRightInd w:val="0"/>
        <w:jc w:val="center"/>
        <w:outlineLvl w:val="2"/>
      </w:pPr>
      <w:r w:rsidRPr="00C82C0D">
        <w:t>Профессиональная квалификационная группа</w:t>
      </w:r>
    </w:p>
    <w:p w:rsidR="00C82C0D" w:rsidRPr="00C82C0D" w:rsidRDefault="00C82C0D" w:rsidP="00C82C0D">
      <w:pPr>
        <w:widowControl w:val="0"/>
        <w:autoSpaceDE w:val="0"/>
        <w:autoSpaceDN w:val="0"/>
        <w:adjustRightInd w:val="0"/>
        <w:jc w:val="center"/>
      </w:pPr>
      <w:r w:rsidRPr="00C82C0D">
        <w:t>"Общеотраслевые должности служащих второго уровня"</w:t>
      </w:r>
    </w:p>
    <w:p w:rsidR="00C82C0D" w:rsidRPr="00C82C0D" w:rsidRDefault="00C82C0D" w:rsidP="00C82C0D">
      <w:pPr>
        <w:widowControl w:val="0"/>
        <w:autoSpaceDE w:val="0"/>
        <w:autoSpaceDN w:val="0"/>
        <w:adjustRightInd w:val="0"/>
        <w:ind w:firstLine="540"/>
        <w:jc w:val="both"/>
        <w:rPr>
          <w:b w:val="0"/>
        </w:rPr>
      </w:pPr>
    </w:p>
    <w:tbl>
      <w:tblPr>
        <w:tblW w:w="0" w:type="auto"/>
        <w:tblInd w:w="75" w:type="dxa"/>
        <w:tblLayout w:type="fixed"/>
        <w:tblCellMar>
          <w:left w:w="75" w:type="dxa"/>
          <w:right w:w="75" w:type="dxa"/>
        </w:tblCellMar>
        <w:tblLook w:val="04A0"/>
      </w:tblPr>
      <w:tblGrid>
        <w:gridCol w:w="2268"/>
        <w:gridCol w:w="4932"/>
        <w:gridCol w:w="2040"/>
      </w:tblGrid>
      <w:tr w:rsidR="00C82C0D" w:rsidTr="00AB6427">
        <w:trPr>
          <w:trHeight w:val="400"/>
        </w:trPr>
        <w:tc>
          <w:tcPr>
            <w:tcW w:w="2268" w:type="dxa"/>
            <w:tcBorders>
              <w:top w:val="single" w:sz="4" w:space="0" w:color="auto"/>
              <w:left w:val="single" w:sz="4" w:space="0" w:color="auto"/>
              <w:bottom w:val="single" w:sz="4" w:space="0" w:color="auto"/>
              <w:right w:val="single" w:sz="4" w:space="0" w:color="auto"/>
            </w:tcBorders>
            <w:hideMark/>
          </w:tcPr>
          <w:p w:rsidR="00C82C0D" w:rsidRDefault="00C82C0D" w:rsidP="00AB6427">
            <w:pPr>
              <w:pStyle w:val="ConsPlusCell"/>
              <w:ind w:left="-75" w:right="-42"/>
              <w:jc w:val="center"/>
              <w:rPr>
                <w:sz w:val="26"/>
                <w:szCs w:val="26"/>
              </w:rPr>
            </w:pPr>
            <w:r>
              <w:rPr>
                <w:sz w:val="26"/>
                <w:szCs w:val="26"/>
              </w:rPr>
              <w:t>Квалификационный</w:t>
            </w:r>
            <w:r w:rsidR="00AB6427">
              <w:rPr>
                <w:sz w:val="26"/>
                <w:szCs w:val="26"/>
              </w:rPr>
              <w:t xml:space="preserve"> уровень  </w:t>
            </w:r>
            <w:r>
              <w:rPr>
                <w:sz w:val="26"/>
                <w:szCs w:val="26"/>
              </w:rPr>
              <w:br/>
            </w:r>
          </w:p>
        </w:tc>
        <w:tc>
          <w:tcPr>
            <w:tcW w:w="4932" w:type="dxa"/>
            <w:tcBorders>
              <w:top w:val="single" w:sz="4" w:space="0" w:color="auto"/>
              <w:left w:val="single" w:sz="4" w:space="0" w:color="auto"/>
              <w:bottom w:val="single" w:sz="4" w:space="0" w:color="auto"/>
              <w:right w:val="single" w:sz="4" w:space="0" w:color="auto"/>
            </w:tcBorders>
            <w:hideMark/>
          </w:tcPr>
          <w:p w:rsidR="00C82C0D" w:rsidRDefault="00C82C0D" w:rsidP="00341608">
            <w:pPr>
              <w:pStyle w:val="ConsPlusCell"/>
              <w:rPr>
                <w:sz w:val="26"/>
                <w:szCs w:val="26"/>
              </w:rPr>
            </w:pPr>
            <w:r>
              <w:rPr>
                <w:sz w:val="26"/>
                <w:szCs w:val="26"/>
              </w:rPr>
              <w:t xml:space="preserve">        Наименование должностей         </w:t>
            </w:r>
          </w:p>
        </w:tc>
        <w:tc>
          <w:tcPr>
            <w:tcW w:w="2040" w:type="dxa"/>
            <w:tcBorders>
              <w:top w:val="single" w:sz="4" w:space="0" w:color="auto"/>
              <w:left w:val="single" w:sz="4" w:space="0" w:color="auto"/>
              <w:bottom w:val="single" w:sz="4" w:space="0" w:color="auto"/>
              <w:right w:val="single" w:sz="4" w:space="0" w:color="auto"/>
            </w:tcBorders>
            <w:hideMark/>
          </w:tcPr>
          <w:p w:rsidR="00C82C0D" w:rsidRDefault="00C82C0D" w:rsidP="00341608">
            <w:pPr>
              <w:pStyle w:val="ConsPlusCell"/>
              <w:rPr>
                <w:sz w:val="26"/>
                <w:szCs w:val="26"/>
              </w:rPr>
            </w:pPr>
            <w:r>
              <w:rPr>
                <w:sz w:val="26"/>
                <w:szCs w:val="26"/>
              </w:rPr>
              <w:t>Размер базового</w:t>
            </w:r>
            <w:r>
              <w:rPr>
                <w:sz w:val="26"/>
                <w:szCs w:val="26"/>
              </w:rPr>
              <w:br/>
              <w:t xml:space="preserve"> оклада, руб.  </w:t>
            </w:r>
          </w:p>
        </w:tc>
      </w:tr>
      <w:tr w:rsidR="00C82C0D" w:rsidTr="00AB6427">
        <w:trPr>
          <w:trHeight w:val="723"/>
        </w:trPr>
        <w:tc>
          <w:tcPr>
            <w:tcW w:w="2268" w:type="dxa"/>
            <w:tcBorders>
              <w:top w:val="nil"/>
              <w:left w:val="single" w:sz="4" w:space="0" w:color="auto"/>
              <w:bottom w:val="single" w:sz="4" w:space="0" w:color="auto"/>
              <w:right w:val="single" w:sz="4" w:space="0" w:color="auto"/>
            </w:tcBorders>
            <w:hideMark/>
          </w:tcPr>
          <w:p w:rsidR="00C82C0D" w:rsidRDefault="00C82C0D" w:rsidP="00341608">
            <w:pPr>
              <w:pStyle w:val="ConsPlusCell"/>
              <w:rPr>
                <w:sz w:val="26"/>
                <w:szCs w:val="26"/>
              </w:rPr>
            </w:pPr>
            <w:r>
              <w:rPr>
                <w:sz w:val="26"/>
                <w:szCs w:val="26"/>
              </w:rPr>
              <w:t xml:space="preserve">       1        </w:t>
            </w:r>
          </w:p>
        </w:tc>
        <w:tc>
          <w:tcPr>
            <w:tcW w:w="4932" w:type="dxa"/>
            <w:tcBorders>
              <w:top w:val="nil"/>
              <w:left w:val="single" w:sz="4" w:space="0" w:color="auto"/>
              <w:bottom w:val="single" w:sz="4" w:space="0" w:color="auto"/>
              <w:right w:val="single" w:sz="4" w:space="0" w:color="auto"/>
            </w:tcBorders>
            <w:hideMark/>
          </w:tcPr>
          <w:p w:rsidR="00C82C0D" w:rsidRDefault="00C82C0D" w:rsidP="00341608">
            <w:pPr>
              <w:pStyle w:val="ConsPlusCell"/>
              <w:rPr>
                <w:sz w:val="26"/>
                <w:szCs w:val="26"/>
              </w:rPr>
            </w:pPr>
            <w:r>
              <w:rPr>
                <w:sz w:val="26"/>
                <w:szCs w:val="26"/>
              </w:rPr>
              <w:t xml:space="preserve">Диспетчер; оператор </w:t>
            </w:r>
            <w:r>
              <w:rPr>
                <w:sz w:val="26"/>
                <w:szCs w:val="26"/>
              </w:rPr>
              <w:br/>
              <w:t xml:space="preserve">диспетчерской службы;                   </w:t>
            </w:r>
            <w:r>
              <w:rPr>
                <w:sz w:val="26"/>
                <w:szCs w:val="26"/>
              </w:rPr>
              <w:br/>
            </w:r>
          </w:p>
        </w:tc>
        <w:tc>
          <w:tcPr>
            <w:tcW w:w="2040" w:type="dxa"/>
            <w:tcBorders>
              <w:top w:val="nil"/>
              <w:left w:val="single" w:sz="4" w:space="0" w:color="auto"/>
              <w:bottom w:val="single" w:sz="4" w:space="0" w:color="auto"/>
              <w:right w:val="single" w:sz="4" w:space="0" w:color="auto"/>
            </w:tcBorders>
            <w:hideMark/>
          </w:tcPr>
          <w:p w:rsidR="00C82C0D" w:rsidRDefault="00C82C0D" w:rsidP="00341608">
            <w:pPr>
              <w:pStyle w:val="ConsPlusCell"/>
              <w:rPr>
                <w:sz w:val="26"/>
                <w:szCs w:val="26"/>
              </w:rPr>
            </w:pPr>
            <w:r>
              <w:rPr>
                <w:sz w:val="26"/>
                <w:szCs w:val="26"/>
              </w:rPr>
              <w:t xml:space="preserve">           5138</w:t>
            </w:r>
          </w:p>
        </w:tc>
      </w:tr>
    </w:tbl>
    <w:p w:rsidR="00C82C0D" w:rsidRDefault="00C82C0D" w:rsidP="00C82C0D">
      <w:pPr>
        <w:widowControl w:val="0"/>
        <w:autoSpaceDE w:val="0"/>
        <w:autoSpaceDN w:val="0"/>
        <w:adjustRightInd w:val="0"/>
        <w:ind w:firstLine="540"/>
        <w:jc w:val="both"/>
      </w:pPr>
    </w:p>
    <w:p w:rsidR="00C82C0D" w:rsidRDefault="00C82C0D" w:rsidP="00C82C0D">
      <w:pPr>
        <w:widowControl w:val="0"/>
        <w:autoSpaceDE w:val="0"/>
        <w:autoSpaceDN w:val="0"/>
        <w:adjustRightInd w:val="0"/>
        <w:ind w:firstLine="540"/>
        <w:jc w:val="both"/>
      </w:pPr>
    </w:p>
    <w:p w:rsidR="00C82C0D" w:rsidRDefault="00C82C0D" w:rsidP="00C82C0D">
      <w:pPr>
        <w:widowControl w:val="0"/>
        <w:autoSpaceDE w:val="0"/>
        <w:autoSpaceDN w:val="0"/>
        <w:adjustRightInd w:val="0"/>
        <w:jc w:val="center"/>
        <w:outlineLvl w:val="2"/>
      </w:pPr>
      <w:r>
        <w:t>Профессиональная квалификационная группа</w:t>
      </w:r>
    </w:p>
    <w:p w:rsidR="00C82C0D" w:rsidRDefault="00C82C0D" w:rsidP="00C82C0D">
      <w:pPr>
        <w:widowControl w:val="0"/>
        <w:autoSpaceDE w:val="0"/>
        <w:autoSpaceDN w:val="0"/>
        <w:adjustRightInd w:val="0"/>
        <w:jc w:val="center"/>
      </w:pPr>
      <w:r>
        <w:t>"Общеотраслевые должности служащих четвертого уровня"</w:t>
      </w:r>
    </w:p>
    <w:p w:rsidR="00C82C0D" w:rsidRDefault="00C82C0D" w:rsidP="00C82C0D">
      <w:pPr>
        <w:widowControl w:val="0"/>
        <w:autoSpaceDE w:val="0"/>
        <w:autoSpaceDN w:val="0"/>
        <w:adjustRightInd w:val="0"/>
      </w:pPr>
    </w:p>
    <w:tbl>
      <w:tblPr>
        <w:tblW w:w="0" w:type="auto"/>
        <w:tblInd w:w="75" w:type="dxa"/>
        <w:tblLayout w:type="fixed"/>
        <w:tblCellMar>
          <w:left w:w="75" w:type="dxa"/>
          <w:right w:w="75" w:type="dxa"/>
        </w:tblCellMar>
        <w:tblLook w:val="04A0"/>
      </w:tblPr>
      <w:tblGrid>
        <w:gridCol w:w="2268"/>
        <w:gridCol w:w="4932"/>
        <w:gridCol w:w="2040"/>
      </w:tblGrid>
      <w:tr w:rsidR="00C82C0D" w:rsidTr="00AB6427">
        <w:trPr>
          <w:trHeight w:val="400"/>
        </w:trPr>
        <w:tc>
          <w:tcPr>
            <w:tcW w:w="2268" w:type="dxa"/>
            <w:tcBorders>
              <w:top w:val="single" w:sz="4" w:space="0" w:color="auto"/>
              <w:left w:val="single" w:sz="4" w:space="0" w:color="auto"/>
              <w:bottom w:val="single" w:sz="4" w:space="0" w:color="auto"/>
              <w:right w:val="single" w:sz="4" w:space="0" w:color="auto"/>
            </w:tcBorders>
            <w:hideMark/>
          </w:tcPr>
          <w:p w:rsidR="00C82C0D" w:rsidRDefault="00C82C0D" w:rsidP="00AB6427">
            <w:pPr>
              <w:pStyle w:val="ConsPlusCell"/>
              <w:ind w:left="-75" w:right="-75"/>
              <w:rPr>
                <w:sz w:val="26"/>
                <w:szCs w:val="26"/>
              </w:rPr>
            </w:pPr>
            <w:r>
              <w:rPr>
                <w:sz w:val="26"/>
                <w:szCs w:val="26"/>
              </w:rPr>
              <w:t>Квалификационный</w:t>
            </w:r>
            <w:r>
              <w:rPr>
                <w:sz w:val="26"/>
                <w:szCs w:val="26"/>
              </w:rPr>
              <w:br/>
              <w:t xml:space="preserve">    уровень     </w:t>
            </w:r>
          </w:p>
        </w:tc>
        <w:tc>
          <w:tcPr>
            <w:tcW w:w="4932" w:type="dxa"/>
            <w:tcBorders>
              <w:top w:val="single" w:sz="4" w:space="0" w:color="auto"/>
              <w:left w:val="single" w:sz="4" w:space="0" w:color="auto"/>
              <w:bottom w:val="single" w:sz="4" w:space="0" w:color="auto"/>
              <w:right w:val="single" w:sz="4" w:space="0" w:color="auto"/>
            </w:tcBorders>
            <w:hideMark/>
          </w:tcPr>
          <w:p w:rsidR="00C82C0D" w:rsidRDefault="00C82C0D" w:rsidP="00341608">
            <w:pPr>
              <w:pStyle w:val="ConsPlusCell"/>
              <w:rPr>
                <w:sz w:val="26"/>
                <w:szCs w:val="26"/>
              </w:rPr>
            </w:pPr>
            <w:r>
              <w:rPr>
                <w:sz w:val="26"/>
                <w:szCs w:val="26"/>
              </w:rPr>
              <w:t xml:space="preserve">        Наименование должностей         </w:t>
            </w:r>
          </w:p>
        </w:tc>
        <w:tc>
          <w:tcPr>
            <w:tcW w:w="2040" w:type="dxa"/>
            <w:tcBorders>
              <w:top w:val="single" w:sz="4" w:space="0" w:color="auto"/>
              <w:left w:val="single" w:sz="4" w:space="0" w:color="auto"/>
              <w:bottom w:val="single" w:sz="4" w:space="0" w:color="auto"/>
              <w:right w:val="single" w:sz="4" w:space="0" w:color="auto"/>
            </w:tcBorders>
            <w:hideMark/>
          </w:tcPr>
          <w:p w:rsidR="00C82C0D" w:rsidRDefault="00C82C0D" w:rsidP="00341608">
            <w:pPr>
              <w:pStyle w:val="ConsPlusCell"/>
              <w:rPr>
                <w:sz w:val="26"/>
                <w:szCs w:val="26"/>
              </w:rPr>
            </w:pPr>
            <w:r>
              <w:rPr>
                <w:sz w:val="26"/>
                <w:szCs w:val="26"/>
              </w:rPr>
              <w:t>Размер базового</w:t>
            </w:r>
            <w:r>
              <w:rPr>
                <w:sz w:val="26"/>
                <w:szCs w:val="26"/>
              </w:rPr>
              <w:br/>
              <w:t xml:space="preserve"> оклада, руб.  </w:t>
            </w:r>
          </w:p>
        </w:tc>
      </w:tr>
      <w:tr w:rsidR="00C82C0D" w:rsidTr="00AB6427">
        <w:trPr>
          <w:trHeight w:val="600"/>
        </w:trPr>
        <w:tc>
          <w:tcPr>
            <w:tcW w:w="2268" w:type="dxa"/>
            <w:tcBorders>
              <w:top w:val="nil"/>
              <w:left w:val="single" w:sz="4" w:space="0" w:color="auto"/>
              <w:bottom w:val="nil"/>
              <w:right w:val="single" w:sz="4" w:space="0" w:color="auto"/>
            </w:tcBorders>
            <w:hideMark/>
          </w:tcPr>
          <w:p w:rsidR="00C82C0D" w:rsidRDefault="00C82C0D" w:rsidP="00341608">
            <w:pPr>
              <w:pStyle w:val="ConsPlusCell"/>
              <w:jc w:val="center"/>
              <w:rPr>
                <w:sz w:val="26"/>
                <w:szCs w:val="26"/>
              </w:rPr>
            </w:pPr>
            <w:r>
              <w:rPr>
                <w:sz w:val="26"/>
                <w:szCs w:val="26"/>
              </w:rPr>
              <w:t>1</w:t>
            </w:r>
          </w:p>
        </w:tc>
        <w:tc>
          <w:tcPr>
            <w:tcW w:w="4932" w:type="dxa"/>
            <w:tcBorders>
              <w:top w:val="nil"/>
              <w:left w:val="single" w:sz="4" w:space="0" w:color="auto"/>
              <w:bottom w:val="nil"/>
              <w:right w:val="single" w:sz="4" w:space="0" w:color="auto"/>
            </w:tcBorders>
            <w:hideMark/>
          </w:tcPr>
          <w:p w:rsidR="00C82C0D" w:rsidRDefault="00C82C0D" w:rsidP="00AB6427">
            <w:pPr>
              <w:pStyle w:val="ConsPlusCell"/>
              <w:rPr>
                <w:sz w:val="26"/>
                <w:szCs w:val="26"/>
              </w:rPr>
            </w:pPr>
            <w:r>
              <w:rPr>
                <w:sz w:val="26"/>
                <w:szCs w:val="26"/>
              </w:rPr>
              <w:t xml:space="preserve">Заместитель  директора по мониторингу и прогнозированию </w:t>
            </w:r>
          </w:p>
        </w:tc>
        <w:tc>
          <w:tcPr>
            <w:tcW w:w="2040" w:type="dxa"/>
            <w:tcBorders>
              <w:top w:val="nil"/>
              <w:left w:val="single" w:sz="4" w:space="0" w:color="auto"/>
              <w:bottom w:val="nil"/>
              <w:right w:val="single" w:sz="4" w:space="0" w:color="auto"/>
            </w:tcBorders>
            <w:hideMark/>
          </w:tcPr>
          <w:p w:rsidR="00C82C0D" w:rsidRDefault="00C82C0D" w:rsidP="00341608">
            <w:pPr>
              <w:pStyle w:val="ConsPlusCell"/>
              <w:rPr>
                <w:sz w:val="26"/>
                <w:szCs w:val="26"/>
              </w:rPr>
            </w:pPr>
            <w:r>
              <w:rPr>
                <w:sz w:val="26"/>
                <w:szCs w:val="26"/>
              </w:rPr>
              <w:t xml:space="preserve">           </w:t>
            </w:r>
          </w:p>
          <w:p w:rsidR="00C82C0D" w:rsidRDefault="00C82C0D" w:rsidP="00341608">
            <w:pPr>
              <w:pStyle w:val="ConsPlusCell"/>
              <w:jc w:val="center"/>
              <w:rPr>
                <w:sz w:val="26"/>
                <w:szCs w:val="26"/>
              </w:rPr>
            </w:pPr>
            <w:r>
              <w:rPr>
                <w:sz w:val="26"/>
                <w:szCs w:val="26"/>
              </w:rPr>
              <w:t>8861</w:t>
            </w:r>
          </w:p>
        </w:tc>
      </w:tr>
      <w:tr w:rsidR="00C82C0D" w:rsidTr="00AB6427">
        <w:trPr>
          <w:trHeight w:val="74"/>
        </w:trPr>
        <w:tc>
          <w:tcPr>
            <w:tcW w:w="2268" w:type="dxa"/>
            <w:tcBorders>
              <w:top w:val="nil"/>
              <w:left w:val="single" w:sz="4" w:space="0" w:color="auto"/>
              <w:bottom w:val="single" w:sz="4" w:space="0" w:color="auto"/>
              <w:right w:val="single" w:sz="4" w:space="0" w:color="auto"/>
            </w:tcBorders>
          </w:tcPr>
          <w:p w:rsidR="00C82C0D" w:rsidRDefault="00C82C0D" w:rsidP="00341608">
            <w:pPr>
              <w:pStyle w:val="ConsPlusCell"/>
              <w:rPr>
                <w:sz w:val="26"/>
                <w:szCs w:val="26"/>
              </w:rPr>
            </w:pPr>
          </w:p>
        </w:tc>
        <w:tc>
          <w:tcPr>
            <w:tcW w:w="4932" w:type="dxa"/>
            <w:tcBorders>
              <w:top w:val="nil"/>
              <w:left w:val="single" w:sz="4" w:space="0" w:color="auto"/>
              <w:bottom w:val="single" w:sz="4" w:space="0" w:color="auto"/>
              <w:right w:val="single" w:sz="4" w:space="0" w:color="auto"/>
            </w:tcBorders>
          </w:tcPr>
          <w:p w:rsidR="00C82C0D" w:rsidRDefault="00C82C0D" w:rsidP="00341608">
            <w:pPr>
              <w:pStyle w:val="ConsPlusCell"/>
              <w:rPr>
                <w:sz w:val="26"/>
                <w:szCs w:val="26"/>
              </w:rPr>
            </w:pPr>
          </w:p>
        </w:tc>
        <w:tc>
          <w:tcPr>
            <w:tcW w:w="2040" w:type="dxa"/>
            <w:tcBorders>
              <w:top w:val="nil"/>
              <w:left w:val="single" w:sz="4" w:space="0" w:color="auto"/>
              <w:bottom w:val="single" w:sz="4" w:space="0" w:color="auto"/>
              <w:right w:val="single" w:sz="4" w:space="0" w:color="auto"/>
            </w:tcBorders>
          </w:tcPr>
          <w:p w:rsidR="00C82C0D" w:rsidRDefault="00C82C0D" w:rsidP="00341608">
            <w:pPr>
              <w:pStyle w:val="ConsPlusCell"/>
              <w:rPr>
                <w:sz w:val="26"/>
                <w:szCs w:val="26"/>
              </w:rPr>
            </w:pPr>
          </w:p>
        </w:tc>
      </w:tr>
      <w:tr w:rsidR="00C82C0D" w:rsidTr="00AB6427">
        <w:trPr>
          <w:trHeight w:val="443"/>
        </w:trPr>
        <w:tc>
          <w:tcPr>
            <w:tcW w:w="2268" w:type="dxa"/>
            <w:tcBorders>
              <w:top w:val="nil"/>
              <w:left w:val="single" w:sz="4" w:space="0" w:color="auto"/>
              <w:bottom w:val="single" w:sz="4" w:space="0" w:color="auto"/>
              <w:right w:val="single" w:sz="4" w:space="0" w:color="auto"/>
            </w:tcBorders>
            <w:hideMark/>
          </w:tcPr>
          <w:p w:rsidR="00C82C0D" w:rsidRDefault="00C82C0D" w:rsidP="00341608">
            <w:pPr>
              <w:pStyle w:val="ConsPlusCell"/>
              <w:jc w:val="center"/>
              <w:rPr>
                <w:sz w:val="26"/>
                <w:szCs w:val="26"/>
              </w:rPr>
            </w:pPr>
            <w:r>
              <w:rPr>
                <w:sz w:val="26"/>
                <w:szCs w:val="26"/>
              </w:rPr>
              <w:t>2</w:t>
            </w:r>
          </w:p>
        </w:tc>
        <w:tc>
          <w:tcPr>
            <w:tcW w:w="4932" w:type="dxa"/>
            <w:tcBorders>
              <w:top w:val="nil"/>
              <w:left w:val="single" w:sz="4" w:space="0" w:color="auto"/>
              <w:bottom w:val="single" w:sz="4" w:space="0" w:color="auto"/>
              <w:right w:val="single" w:sz="4" w:space="0" w:color="auto"/>
            </w:tcBorders>
            <w:hideMark/>
          </w:tcPr>
          <w:p w:rsidR="00C82C0D" w:rsidRDefault="00C82C0D" w:rsidP="00341608">
            <w:pPr>
              <w:pStyle w:val="ConsPlusCell"/>
              <w:rPr>
                <w:sz w:val="26"/>
                <w:szCs w:val="26"/>
              </w:rPr>
            </w:pPr>
            <w:r>
              <w:rPr>
                <w:sz w:val="26"/>
                <w:szCs w:val="26"/>
              </w:rPr>
              <w:t xml:space="preserve">Директор </w:t>
            </w:r>
          </w:p>
        </w:tc>
        <w:tc>
          <w:tcPr>
            <w:tcW w:w="2040" w:type="dxa"/>
            <w:tcBorders>
              <w:top w:val="nil"/>
              <w:left w:val="single" w:sz="4" w:space="0" w:color="auto"/>
              <w:bottom w:val="single" w:sz="4" w:space="0" w:color="auto"/>
              <w:right w:val="single" w:sz="4" w:space="0" w:color="auto"/>
            </w:tcBorders>
            <w:hideMark/>
          </w:tcPr>
          <w:p w:rsidR="00C82C0D" w:rsidRDefault="00C82C0D" w:rsidP="00AB6427">
            <w:pPr>
              <w:pStyle w:val="ConsPlusCell"/>
              <w:rPr>
                <w:sz w:val="26"/>
                <w:szCs w:val="26"/>
              </w:rPr>
            </w:pPr>
            <w:r>
              <w:rPr>
                <w:sz w:val="26"/>
                <w:szCs w:val="26"/>
              </w:rPr>
              <w:t xml:space="preserve">          </w:t>
            </w:r>
            <w:r w:rsidR="00AB6427">
              <w:rPr>
                <w:sz w:val="26"/>
                <w:szCs w:val="26"/>
              </w:rPr>
              <w:t xml:space="preserve"> 9969</w:t>
            </w:r>
            <w:r>
              <w:rPr>
                <w:sz w:val="26"/>
                <w:szCs w:val="26"/>
              </w:rPr>
              <w:t xml:space="preserve">          </w:t>
            </w:r>
          </w:p>
        </w:tc>
      </w:tr>
    </w:tbl>
    <w:p w:rsidR="00C82C0D" w:rsidRDefault="00C82C0D" w:rsidP="00C82C0D">
      <w:pPr>
        <w:widowControl w:val="0"/>
        <w:autoSpaceDE w:val="0"/>
        <w:autoSpaceDN w:val="0"/>
        <w:adjustRightInd w:val="0"/>
      </w:pPr>
    </w:p>
    <w:p w:rsidR="00C82C0D" w:rsidRDefault="00C82C0D" w:rsidP="00C82C0D">
      <w:pPr>
        <w:widowControl w:val="0"/>
        <w:autoSpaceDE w:val="0"/>
        <w:autoSpaceDN w:val="0"/>
        <w:adjustRightInd w:val="0"/>
        <w:jc w:val="right"/>
      </w:pPr>
    </w:p>
    <w:p w:rsidR="00C82C0D" w:rsidRPr="00C82C0D" w:rsidRDefault="00C82C0D" w:rsidP="00C82C0D">
      <w:pPr>
        <w:widowControl w:val="0"/>
        <w:autoSpaceDE w:val="0"/>
        <w:autoSpaceDN w:val="0"/>
        <w:adjustRightInd w:val="0"/>
        <w:jc w:val="right"/>
        <w:outlineLvl w:val="0"/>
        <w:rPr>
          <w:b w:val="0"/>
        </w:rPr>
      </w:pPr>
    </w:p>
    <w:p w:rsidR="00C82C0D" w:rsidRPr="00C82C0D" w:rsidRDefault="00C82C0D" w:rsidP="00C82C0D">
      <w:pPr>
        <w:widowControl w:val="0"/>
        <w:autoSpaceDE w:val="0"/>
        <w:autoSpaceDN w:val="0"/>
        <w:adjustRightInd w:val="0"/>
        <w:jc w:val="right"/>
        <w:outlineLvl w:val="0"/>
        <w:rPr>
          <w:b w:val="0"/>
        </w:rPr>
      </w:pPr>
      <w:r w:rsidRPr="00C82C0D">
        <w:rPr>
          <w:b w:val="0"/>
        </w:rPr>
        <w:t>Приложение 2</w:t>
      </w:r>
    </w:p>
    <w:p w:rsidR="00C82C0D" w:rsidRPr="00C82C0D" w:rsidRDefault="00C82C0D" w:rsidP="00C82C0D">
      <w:pPr>
        <w:pStyle w:val="ab"/>
        <w:jc w:val="right"/>
        <w:rPr>
          <w:rFonts w:ascii="Times New Roman" w:hAnsi="Times New Roman"/>
          <w:sz w:val="26"/>
          <w:szCs w:val="26"/>
        </w:rPr>
      </w:pPr>
      <w:r>
        <w:rPr>
          <w:rFonts w:ascii="Times New Roman" w:hAnsi="Times New Roman"/>
          <w:sz w:val="26"/>
          <w:szCs w:val="26"/>
        </w:rPr>
        <w:t>к Положению</w:t>
      </w:r>
      <w:r w:rsidRPr="00C82C0D">
        <w:rPr>
          <w:rFonts w:ascii="Times New Roman" w:hAnsi="Times New Roman"/>
          <w:sz w:val="26"/>
          <w:szCs w:val="26"/>
        </w:rPr>
        <w:t xml:space="preserve"> </w:t>
      </w:r>
      <w:r>
        <w:rPr>
          <w:rFonts w:ascii="Times New Roman" w:hAnsi="Times New Roman"/>
          <w:sz w:val="26"/>
          <w:szCs w:val="26"/>
        </w:rPr>
        <w:t>«Об оплате труда и</w:t>
      </w:r>
      <w:r w:rsidRPr="00C82C0D">
        <w:rPr>
          <w:rFonts w:ascii="Times New Roman" w:hAnsi="Times New Roman"/>
          <w:sz w:val="26"/>
          <w:szCs w:val="26"/>
        </w:rPr>
        <w:t xml:space="preserve"> </w:t>
      </w:r>
      <w:r>
        <w:rPr>
          <w:rFonts w:ascii="Times New Roman" w:hAnsi="Times New Roman"/>
          <w:sz w:val="26"/>
          <w:szCs w:val="26"/>
        </w:rPr>
        <w:t>премировании</w:t>
      </w:r>
    </w:p>
    <w:p w:rsidR="00C82C0D" w:rsidRDefault="00C82C0D" w:rsidP="00C82C0D">
      <w:pPr>
        <w:pStyle w:val="ab"/>
        <w:jc w:val="right"/>
        <w:rPr>
          <w:rFonts w:ascii="Times New Roman" w:hAnsi="Times New Roman"/>
          <w:sz w:val="26"/>
          <w:szCs w:val="26"/>
        </w:rPr>
      </w:pPr>
      <w:r>
        <w:rPr>
          <w:rFonts w:ascii="Times New Roman" w:hAnsi="Times New Roman"/>
          <w:sz w:val="26"/>
          <w:szCs w:val="26"/>
        </w:rPr>
        <w:t>работников</w:t>
      </w:r>
      <w:r w:rsidRPr="00C82C0D">
        <w:rPr>
          <w:rFonts w:ascii="Times New Roman" w:hAnsi="Times New Roman"/>
          <w:sz w:val="26"/>
          <w:szCs w:val="26"/>
        </w:rPr>
        <w:t xml:space="preserve"> </w:t>
      </w:r>
      <w:r>
        <w:rPr>
          <w:rFonts w:ascii="Times New Roman" w:hAnsi="Times New Roman"/>
          <w:sz w:val="26"/>
          <w:szCs w:val="26"/>
        </w:rPr>
        <w:t>муниципального казённого</w:t>
      </w:r>
      <w:r w:rsidRPr="00C82C0D">
        <w:rPr>
          <w:rFonts w:ascii="Times New Roman" w:hAnsi="Times New Roman"/>
          <w:sz w:val="26"/>
          <w:szCs w:val="26"/>
        </w:rPr>
        <w:t xml:space="preserve"> </w:t>
      </w:r>
      <w:r>
        <w:rPr>
          <w:rFonts w:ascii="Times New Roman" w:hAnsi="Times New Roman"/>
          <w:sz w:val="26"/>
          <w:szCs w:val="26"/>
        </w:rPr>
        <w:t>учреждения</w:t>
      </w:r>
    </w:p>
    <w:p w:rsidR="00C82C0D" w:rsidRPr="00C82C0D" w:rsidRDefault="00C82C0D" w:rsidP="00C82C0D">
      <w:pPr>
        <w:pStyle w:val="ab"/>
        <w:jc w:val="right"/>
        <w:rPr>
          <w:rFonts w:ascii="Times New Roman" w:hAnsi="Times New Roman"/>
          <w:sz w:val="26"/>
          <w:szCs w:val="26"/>
        </w:rPr>
      </w:pPr>
      <w:r>
        <w:rPr>
          <w:rFonts w:ascii="Times New Roman" w:hAnsi="Times New Roman"/>
          <w:sz w:val="26"/>
          <w:szCs w:val="26"/>
        </w:rPr>
        <w:t xml:space="preserve">Единая дежурно-диспетчерская служба </w:t>
      </w:r>
    </w:p>
    <w:p w:rsidR="00C82C0D" w:rsidRPr="00C82C0D" w:rsidRDefault="00C82C0D" w:rsidP="00C82C0D">
      <w:pPr>
        <w:pStyle w:val="ab"/>
        <w:jc w:val="right"/>
        <w:rPr>
          <w:rFonts w:ascii="Times New Roman" w:hAnsi="Times New Roman"/>
          <w:sz w:val="26"/>
          <w:szCs w:val="26"/>
        </w:rPr>
      </w:pPr>
      <w:r w:rsidRPr="00C82C0D">
        <w:rPr>
          <w:rFonts w:ascii="Times New Roman" w:hAnsi="Times New Roman"/>
          <w:sz w:val="26"/>
          <w:szCs w:val="26"/>
        </w:rPr>
        <w:tab/>
      </w:r>
    </w:p>
    <w:p w:rsidR="00C82C0D" w:rsidRPr="00C82C0D" w:rsidRDefault="00C82C0D" w:rsidP="00C82C0D">
      <w:pPr>
        <w:widowControl w:val="0"/>
        <w:autoSpaceDE w:val="0"/>
        <w:autoSpaceDN w:val="0"/>
        <w:adjustRightInd w:val="0"/>
        <w:rPr>
          <w:b w:val="0"/>
        </w:rPr>
      </w:pPr>
    </w:p>
    <w:p w:rsidR="00C82C0D" w:rsidRPr="00C82C0D" w:rsidRDefault="00C82C0D" w:rsidP="00C82C0D">
      <w:pPr>
        <w:pStyle w:val="ConsPlusTitle"/>
        <w:jc w:val="center"/>
        <w:rPr>
          <w:b w:val="0"/>
          <w:sz w:val="26"/>
          <w:szCs w:val="26"/>
        </w:rPr>
      </w:pPr>
      <w:bookmarkStart w:id="1" w:name="Par632"/>
      <w:bookmarkEnd w:id="1"/>
      <w:r w:rsidRPr="00C82C0D">
        <w:rPr>
          <w:b w:val="0"/>
          <w:sz w:val="26"/>
          <w:szCs w:val="26"/>
        </w:rPr>
        <w:t>РАЗМЕРЫ И УСЛОВИЯ</w:t>
      </w:r>
    </w:p>
    <w:p w:rsidR="00C82C0D" w:rsidRPr="00C82C0D" w:rsidRDefault="00C82C0D" w:rsidP="00C82C0D">
      <w:pPr>
        <w:pStyle w:val="ConsPlusTitle"/>
        <w:jc w:val="center"/>
        <w:rPr>
          <w:b w:val="0"/>
          <w:sz w:val="26"/>
          <w:szCs w:val="26"/>
        </w:rPr>
      </w:pPr>
      <w:r w:rsidRPr="00C82C0D">
        <w:rPr>
          <w:b w:val="0"/>
          <w:sz w:val="26"/>
          <w:szCs w:val="26"/>
        </w:rPr>
        <w:t>УСТАНОВЛЕНИЯ ПОВЫШАЮЩИХ КОЭФФИЦИЕНТОВ К БАЗОВЫМ ОКЛАДАМ РАБОТНИКОВ УЧРЕЖДЕНИЯ</w:t>
      </w:r>
    </w:p>
    <w:p w:rsidR="00C82C0D" w:rsidRPr="00C82C0D" w:rsidRDefault="00C82C0D" w:rsidP="00C82C0D">
      <w:pPr>
        <w:pStyle w:val="ConsPlusTitle"/>
        <w:jc w:val="center"/>
        <w:rPr>
          <w:b w:val="0"/>
          <w:sz w:val="26"/>
          <w:szCs w:val="26"/>
        </w:rPr>
      </w:pPr>
    </w:p>
    <w:p w:rsidR="00C82C0D" w:rsidRPr="00C82C0D" w:rsidRDefault="00C82C0D" w:rsidP="00C82C0D">
      <w:pPr>
        <w:widowControl w:val="0"/>
        <w:autoSpaceDE w:val="0"/>
        <w:autoSpaceDN w:val="0"/>
        <w:adjustRightInd w:val="0"/>
        <w:jc w:val="center"/>
        <w:rPr>
          <w:b w:val="0"/>
        </w:rPr>
      </w:pPr>
    </w:p>
    <w:p w:rsidR="00C82C0D" w:rsidRPr="00C82C0D" w:rsidRDefault="00C82C0D" w:rsidP="00C82C0D">
      <w:pPr>
        <w:widowControl w:val="0"/>
        <w:autoSpaceDE w:val="0"/>
        <w:autoSpaceDN w:val="0"/>
        <w:adjustRightInd w:val="0"/>
        <w:ind w:firstLine="540"/>
        <w:jc w:val="both"/>
        <w:rPr>
          <w:b w:val="0"/>
        </w:rPr>
      </w:pPr>
      <w:r w:rsidRPr="00C82C0D">
        <w:rPr>
          <w:b w:val="0"/>
        </w:rPr>
        <w:t>1. Работникам Учреждения за специфику работы устанавливается повышающий коэффициент (Кс):</w:t>
      </w:r>
    </w:p>
    <w:p w:rsidR="00C82C0D" w:rsidRPr="00C82C0D" w:rsidRDefault="00C82C0D" w:rsidP="00C82C0D">
      <w:pPr>
        <w:widowControl w:val="0"/>
        <w:autoSpaceDE w:val="0"/>
        <w:autoSpaceDN w:val="0"/>
        <w:adjustRightInd w:val="0"/>
        <w:ind w:firstLine="540"/>
        <w:jc w:val="both"/>
        <w:rPr>
          <w:b w:val="0"/>
        </w:rPr>
      </w:pPr>
      <w:r w:rsidRPr="00C82C0D">
        <w:rPr>
          <w:b w:val="0"/>
        </w:rPr>
        <w:t>Кс = 0,25</w:t>
      </w:r>
    </w:p>
    <w:p w:rsidR="00C82C0D" w:rsidRDefault="00C82C0D" w:rsidP="00C82C0D">
      <w:pPr>
        <w:widowControl w:val="0"/>
        <w:autoSpaceDE w:val="0"/>
        <w:autoSpaceDN w:val="0"/>
        <w:adjustRightInd w:val="0"/>
      </w:pPr>
    </w:p>
    <w:p w:rsidR="00C82C0D" w:rsidRPr="00C82C0D" w:rsidRDefault="00C82C0D" w:rsidP="00C82C0D">
      <w:pPr>
        <w:widowControl w:val="0"/>
        <w:autoSpaceDE w:val="0"/>
        <w:autoSpaceDN w:val="0"/>
        <w:adjustRightInd w:val="0"/>
        <w:jc w:val="right"/>
        <w:outlineLvl w:val="0"/>
        <w:rPr>
          <w:b w:val="0"/>
        </w:rPr>
      </w:pPr>
      <w:r w:rsidRPr="00C82C0D">
        <w:rPr>
          <w:b w:val="0"/>
        </w:rPr>
        <w:lastRenderedPageBreak/>
        <w:t>Приложение 3</w:t>
      </w:r>
    </w:p>
    <w:p w:rsidR="00AB6427" w:rsidRDefault="00AB6427" w:rsidP="00AB6427">
      <w:pPr>
        <w:pStyle w:val="ab"/>
        <w:jc w:val="right"/>
        <w:rPr>
          <w:rFonts w:ascii="Times New Roman" w:hAnsi="Times New Roman"/>
          <w:sz w:val="26"/>
          <w:szCs w:val="26"/>
        </w:rPr>
      </w:pPr>
      <w:r>
        <w:rPr>
          <w:rFonts w:ascii="Times New Roman" w:hAnsi="Times New Roman"/>
          <w:sz w:val="26"/>
          <w:szCs w:val="26"/>
        </w:rPr>
        <w:t>к Положению об оплате труда и премировании</w:t>
      </w:r>
    </w:p>
    <w:p w:rsidR="00AB6427" w:rsidRDefault="00AB6427" w:rsidP="00AB6427">
      <w:pPr>
        <w:pStyle w:val="ab"/>
        <w:jc w:val="right"/>
        <w:rPr>
          <w:rFonts w:ascii="Times New Roman" w:hAnsi="Times New Roman"/>
          <w:sz w:val="26"/>
          <w:szCs w:val="26"/>
        </w:rPr>
      </w:pPr>
      <w:r>
        <w:rPr>
          <w:rFonts w:ascii="Times New Roman" w:hAnsi="Times New Roman"/>
          <w:sz w:val="26"/>
          <w:szCs w:val="26"/>
        </w:rPr>
        <w:t>работников муниципального казённого учреждения</w:t>
      </w:r>
    </w:p>
    <w:p w:rsidR="00AB6427" w:rsidRPr="00C82C0D" w:rsidRDefault="00AB6427" w:rsidP="00AB6427">
      <w:pPr>
        <w:pStyle w:val="ab"/>
        <w:jc w:val="right"/>
        <w:rPr>
          <w:rFonts w:ascii="Times New Roman" w:hAnsi="Times New Roman"/>
          <w:sz w:val="26"/>
          <w:szCs w:val="26"/>
        </w:rPr>
      </w:pPr>
      <w:r>
        <w:rPr>
          <w:rFonts w:ascii="Times New Roman" w:hAnsi="Times New Roman"/>
          <w:sz w:val="26"/>
          <w:szCs w:val="26"/>
        </w:rPr>
        <w:t>Единая дежурно-диспетчерская служба</w:t>
      </w:r>
    </w:p>
    <w:p w:rsidR="00C82C0D" w:rsidRDefault="00AB6427" w:rsidP="00C82C0D">
      <w:pPr>
        <w:pStyle w:val="ab"/>
        <w:jc w:val="right"/>
        <w:rPr>
          <w:rFonts w:ascii="Times New Roman" w:hAnsi="Times New Roman"/>
          <w:b/>
          <w:sz w:val="26"/>
          <w:szCs w:val="26"/>
        </w:rPr>
      </w:pPr>
      <w:r>
        <w:rPr>
          <w:rFonts w:ascii="Times New Roman" w:hAnsi="Times New Roman"/>
          <w:sz w:val="26"/>
          <w:szCs w:val="26"/>
        </w:rPr>
        <w:t xml:space="preserve"> </w:t>
      </w:r>
    </w:p>
    <w:p w:rsidR="00AB6427" w:rsidRDefault="00AB6427" w:rsidP="00C82C0D">
      <w:pPr>
        <w:pStyle w:val="ConsPlusTitle"/>
        <w:jc w:val="center"/>
        <w:rPr>
          <w:sz w:val="26"/>
          <w:szCs w:val="26"/>
        </w:rPr>
      </w:pPr>
      <w:bookmarkStart w:id="2" w:name="Par653"/>
      <w:bookmarkEnd w:id="2"/>
    </w:p>
    <w:p w:rsidR="00C82C0D" w:rsidRDefault="00C82C0D" w:rsidP="00C82C0D">
      <w:pPr>
        <w:pStyle w:val="ConsPlusTitle"/>
        <w:jc w:val="center"/>
        <w:rPr>
          <w:sz w:val="26"/>
          <w:szCs w:val="26"/>
        </w:rPr>
      </w:pPr>
      <w:r>
        <w:rPr>
          <w:sz w:val="26"/>
          <w:szCs w:val="26"/>
        </w:rPr>
        <w:t>ВИДЫ, УСЛОВИЯ ПРИМЕНЕНИЯ, РАЗМЕРЫ ВЫПЛАТ</w:t>
      </w:r>
    </w:p>
    <w:p w:rsidR="00C82C0D" w:rsidRDefault="00C82C0D" w:rsidP="00C82C0D">
      <w:pPr>
        <w:pStyle w:val="ConsPlusTitle"/>
        <w:jc w:val="center"/>
        <w:rPr>
          <w:sz w:val="26"/>
          <w:szCs w:val="26"/>
        </w:rPr>
      </w:pPr>
      <w:r>
        <w:rPr>
          <w:sz w:val="26"/>
          <w:szCs w:val="26"/>
        </w:rPr>
        <w:t>КОМПЕНСАЦИОННОГО И СТИМУЛИРУЮЩЕГО ХАРАКТЕРА И ПОРЯДОК</w:t>
      </w:r>
    </w:p>
    <w:p w:rsidR="00C82C0D" w:rsidRDefault="00C82C0D" w:rsidP="00C82C0D">
      <w:pPr>
        <w:pStyle w:val="ConsPlusTitle"/>
        <w:jc w:val="center"/>
        <w:rPr>
          <w:sz w:val="26"/>
          <w:szCs w:val="26"/>
        </w:rPr>
      </w:pPr>
      <w:r>
        <w:rPr>
          <w:sz w:val="26"/>
          <w:szCs w:val="26"/>
        </w:rPr>
        <w:t>ИХ ОСУЩЕСТВЛЕНИЯ ДИРЕКТОРУ, ЗАМЕСТИТЕЛЮ ДИРЕКТОРА ПО МОНИТОРИНГУ И ПРОГНОЗИРОВАНИЮ</w:t>
      </w:r>
    </w:p>
    <w:p w:rsidR="00C82C0D" w:rsidRDefault="00C82C0D" w:rsidP="00C82C0D">
      <w:pPr>
        <w:pStyle w:val="ConsPlusTitle"/>
        <w:jc w:val="center"/>
        <w:rPr>
          <w:sz w:val="26"/>
          <w:szCs w:val="26"/>
        </w:rPr>
      </w:pPr>
      <w:r>
        <w:rPr>
          <w:sz w:val="26"/>
          <w:szCs w:val="26"/>
        </w:rPr>
        <w:t>И РАБОТНИКАМ УЧРЕЖДЕНИЯ</w:t>
      </w:r>
    </w:p>
    <w:p w:rsidR="00C82C0D" w:rsidRDefault="00C82C0D" w:rsidP="00C82C0D">
      <w:pPr>
        <w:widowControl w:val="0"/>
        <w:autoSpaceDE w:val="0"/>
        <w:autoSpaceDN w:val="0"/>
        <w:adjustRightInd w:val="0"/>
        <w:jc w:val="center"/>
      </w:pPr>
    </w:p>
    <w:p w:rsidR="00C82C0D" w:rsidRDefault="00C82C0D" w:rsidP="00C82C0D">
      <w:pPr>
        <w:widowControl w:val="0"/>
        <w:autoSpaceDE w:val="0"/>
        <w:autoSpaceDN w:val="0"/>
        <w:adjustRightInd w:val="0"/>
        <w:jc w:val="center"/>
        <w:outlineLvl w:val="1"/>
        <w:rPr>
          <w:b w:val="0"/>
        </w:rPr>
      </w:pPr>
      <w:r>
        <w:t xml:space="preserve">Раздел I. </w:t>
      </w:r>
      <w:r w:rsidR="00AB6427">
        <w:t>Выплаты компенсационного характера</w:t>
      </w:r>
    </w:p>
    <w:p w:rsidR="00C82C0D" w:rsidRPr="00C82C0D" w:rsidRDefault="00C82C0D" w:rsidP="00C82C0D">
      <w:pPr>
        <w:widowControl w:val="0"/>
        <w:autoSpaceDE w:val="0"/>
        <w:autoSpaceDN w:val="0"/>
        <w:adjustRightInd w:val="0"/>
        <w:ind w:firstLine="540"/>
        <w:jc w:val="both"/>
        <w:rPr>
          <w:b w:val="0"/>
        </w:rPr>
      </w:pPr>
    </w:p>
    <w:p w:rsidR="00C82C0D" w:rsidRPr="00C82C0D" w:rsidRDefault="00C82C0D" w:rsidP="00C82C0D">
      <w:pPr>
        <w:widowControl w:val="0"/>
        <w:autoSpaceDE w:val="0"/>
        <w:autoSpaceDN w:val="0"/>
        <w:adjustRightInd w:val="0"/>
        <w:ind w:firstLine="540"/>
        <w:jc w:val="both"/>
        <w:rPr>
          <w:b w:val="0"/>
        </w:rPr>
      </w:pPr>
      <w:r w:rsidRPr="00C82C0D">
        <w:rPr>
          <w:b w:val="0"/>
        </w:rPr>
        <w:t>1.1. К выплатам компенсационного характера относятся:</w:t>
      </w:r>
    </w:p>
    <w:p w:rsidR="00C82C0D" w:rsidRPr="00C82C0D" w:rsidRDefault="00C82C0D" w:rsidP="00C82C0D">
      <w:pPr>
        <w:widowControl w:val="0"/>
        <w:autoSpaceDE w:val="0"/>
        <w:autoSpaceDN w:val="0"/>
        <w:adjustRightInd w:val="0"/>
        <w:ind w:firstLine="540"/>
        <w:jc w:val="both"/>
        <w:rPr>
          <w:b w:val="0"/>
        </w:rPr>
      </w:pPr>
      <w:r w:rsidRPr="00C82C0D">
        <w:rPr>
          <w:b w:val="0"/>
        </w:rPr>
        <w:t>1.1.1. Выплаты за работу в условиях, отклоняющихся от нормальных, в том числе:</w:t>
      </w:r>
    </w:p>
    <w:p w:rsidR="00C82C0D" w:rsidRPr="00C82C0D" w:rsidRDefault="00C82C0D" w:rsidP="00C82C0D">
      <w:pPr>
        <w:widowControl w:val="0"/>
        <w:autoSpaceDE w:val="0"/>
        <w:autoSpaceDN w:val="0"/>
        <w:adjustRightInd w:val="0"/>
        <w:ind w:firstLine="540"/>
        <w:jc w:val="both"/>
        <w:rPr>
          <w:b w:val="0"/>
        </w:rPr>
      </w:pPr>
      <w:r w:rsidRPr="00C82C0D">
        <w:rPr>
          <w:b w:val="0"/>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C82C0D" w:rsidRPr="00C82C0D" w:rsidRDefault="00C82C0D" w:rsidP="00C82C0D">
      <w:pPr>
        <w:widowControl w:val="0"/>
        <w:autoSpaceDE w:val="0"/>
        <w:autoSpaceDN w:val="0"/>
        <w:adjustRightInd w:val="0"/>
        <w:ind w:firstLine="540"/>
        <w:jc w:val="both"/>
        <w:rPr>
          <w:b w:val="0"/>
        </w:rPr>
      </w:pPr>
      <w:r w:rsidRPr="00C82C0D">
        <w:rPr>
          <w:b w:val="0"/>
        </w:rPr>
        <w:t>2. за работу в ночное время;</w:t>
      </w:r>
    </w:p>
    <w:p w:rsidR="00C82C0D" w:rsidRPr="00C82C0D" w:rsidRDefault="00C82C0D" w:rsidP="00C82C0D">
      <w:pPr>
        <w:widowControl w:val="0"/>
        <w:autoSpaceDE w:val="0"/>
        <w:autoSpaceDN w:val="0"/>
        <w:adjustRightInd w:val="0"/>
        <w:ind w:firstLine="540"/>
        <w:jc w:val="both"/>
        <w:rPr>
          <w:b w:val="0"/>
        </w:rPr>
      </w:pPr>
      <w:r w:rsidRPr="00C82C0D">
        <w:rPr>
          <w:b w:val="0"/>
        </w:rPr>
        <w:t>3. за работу в выходные и нерабочие праздничные дни;</w:t>
      </w:r>
    </w:p>
    <w:p w:rsidR="00C82C0D" w:rsidRPr="00C82C0D" w:rsidRDefault="00C82C0D" w:rsidP="00C82C0D">
      <w:pPr>
        <w:widowControl w:val="0"/>
        <w:autoSpaceDE w:val="0"/>
        <w:autoSpaceDN w:val="0"/>
        <w:adjustRightInd w:val="0"/>
        <w:ind w:firstLine="540"/>
        <w:jc w:val="both"/>
        <w:rPr>
          <w:b w:val="0"/>
        </w:rPr>
      </w:pPr>
      <w:r w:rsidRPr="00C82C0D">
        <w:rPr>
          <w:b w:val="0"/>
        </w:rPr>
        <w:t>4.  за сверхурочную работу;</w:t>
      </w:r>
    </w:p>
    <w:p w:rsidR="00C82C0D" w:rsidRPr="00C82C0D" w:rsidRDefault="00C82C0D" w:rsidP="00C82C0D">
      <w:pPr>
        <w:widowControl w:val="0"/>
        <w:autoSpaceDE w:val="0"/>
        <w:autoSpaceDN w:val="0"/>
        <w:adjustRightInd w:val="0"/>
        <w:ind w:firstLine="540"/>
        <w:jc w:val="both"/>
        <w:rPr>
          <w:b w:val="0"/>
        </w:rPr>
      </w:pPr>
      <w:r w:rsidRPr="00C82C0D">
        <w:rPr>
          <w:b w:val="0"/>
        </w:rPr>
        <w:t>5. иные компенсационные выплаты, предусмотренные нормативными правовыми актами, содержащими нормы трудового права.</w:t>
      </w:r>
    </w:p>
    <w:p w:rsidR="00C82C0D" w:rsidRPr="00C82C0D" w:rsidRDefault="00C82C0D" w:rsidP="00C82C0D">
      <w:pPr>
        <w:widowControl w:val="0"/>
        <w:autoSpaceDE w:val="0"/>
        <w:autoSpaceDN w:val="0"/>
        <w:adjustRightInd w:val="0"/>
        <w:ind w:firstLine="540"/>
        <w:jc w:val="both"/>
        <w:rPr>
          <w:b w:val="0"/>
        </w:rPr>
      </w:pPr>
      <w:r w:rsidRPr="00C82C0D">
        <w:rPr>
          <w:b w:val="0"/>
        </w:rPr>
        <w:t>1.2. Условия применения и размеры выплат компенсационного характера заместителю директора по мониторингу и прогнозированию и работникам Учреждения устанавливаются коллективными договорами, локальными нормативными актами, трудовыми договорами в соответствии с законодательством.</w:t>
      </w:r>
    </w:p>
    <w:p w:rsidR="00C82C0D" w:rsidRPr="00C82C0D" w:rsidRDefault="00C82C0D" w:rsidP="00C82C0D">
      <w:pPr>
        <w:widowControl w:val="0"/>
        <w:autoSpaceDE w:val="0"/>
        <w:autoSpaceDN w:val="0"/>
        <w:adjustRightInd w:val="0"/>
        <w:ind w:firstLine="540"/>
        <w:jc w:val="both"/>
        <w:rPr>
          <w:b w:val="0"/>
        </w:rPr>
      </w:pPr>
      <w:r w:rsidRPr="00C82C0D">
        <w:rPr>
          <w:b w:val="0"/>
        </w:rPr>
        <w:t>Выплаты компенсационного характера директору Учреждения устанавливаются администрацией муниципального района «Мещовский район» в соответствии с законодательством.</w:t>
      </w:r>
    </w:p>
    <w:p w:rsidR="00C82C0D" w:rsidRPr="00C82C0D" w:rsidRDefault="00C82C0D" w:rsidP="00C82C0D">
      <w:pPr>
        <w:widowControl w:val="0"/>
        <w:autoSpaceDE w:val="0"/>
        <w:autoSpaceDN w:val="0"/>
        <w:adjustRightInd w:val="0"/>
        <w:ind w:firstLine="540"/>
        <w:jc w:val="both"/>
        <w:rPr>
          <w:b w:val="0"/>
        </w:rPr>
      </w:pPr>
      <w:r w:rsidRPr="00C82C0D">
        <w:rPr>
          <w:b w:val="0"/>
        </w:rPr>
        <w:t>Выплаты компенсационного характера устанавливаются в процентах к базовым окладам без учета повышающих коэффициентов.</w:t>
      </w:r>
    </w:p>
    <w:p w:rsidR="00C82C0D" w:rsidRPr="00C82C0D" w:rsidRDefault="00C82C0D" w:rsidP="00C82C0D">
      <w:pPr>
        <w:widowControl w:val="0"/>
        <w:autoSpaceDE w:val="0"/>
        <w:autoSpaceDN w:val="0"/>
        <w:adjustRightInd w:val="0"/>
        <w:ind w:firstLine="540"/>
        <w:jc w:val="both"/>
        <w:rPr>
          <w:b w:val="0"/>
        </w:rPr>
      </w:pPr>
      <w:r w:rsidRPr="00C82C0D">
        <w:rPr>
          <w:b w:val="0"/>
        </w:rPr>
        <w:t>Размеры выплат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C82C0D" w:rsidRPr="00C82C0D" w:rsidRDefault="00C82C0D" w:rsidP="00C82C0D">
      <w:pPr>
        <w:widowControl w:val="0"/>
        <w:autoSpaceDE w:val="0"/>
        <w:autoSpaceDN w:val="0"/>
        <w:adjustRightInd w:val="0"/>
        <w:ind w:firstLine="540"/>
        <w:jc w:val="both"/>
        <w:rPr>
          <w:b w:val="0"/>
        </w:rPr>
      </w:pPr>
      <w:r w:rsidRPr="00C82C0D">
        <w:rPr>
          <w:b w:val="0"/>
        </w:rPr>
        <w:t xml:space="preserve">1.2.1. Выплаты работникам, занятым на тяжелых работах, работах с вредными и (или) опасными и иными особыми условиями труда, устанавливаются в соответствии с перечнем видов Учреждения, их структурных подразделений, работа в которых дает право на выплату работникам, занятым на тяжелых работах, работах с вредными и (или) опасными и иными особыми условиями труда, утвержденным администрацией муниципального района «Мещовский район», а также по результатам аттестации рабочего места по условиям труда. Размер выплаты по результатам аттестации рабочего места по условиям труда </w:t>
      </w:r>
      <w:r w:rsidRPr="00C82C0D">
        <w:rPr>
          <w:b w:val="0"/>
        </w:rPr>
        <w:lastRenderedPageBreak/>
        <w:t>устанавливается в размере не менее 4 процентов. До аттестации рабочего места размер выплаты устанавливается в соответствии с законодательством, коллективными договорами, локальными нормативными актами в размерах, установленных Районным Собранием муниципального района «Мещовский район».</w:t>
      </w:r>
    </w:p>
    <w:p w:rsidR="00C82C0D" w:rsidRPr="00C82C0D" w:rsidRDefault="00C82C0D" w:rsidP="00C82C0D">
      <w:pPr>
        <w:widowControl w:val="0"/>
        <w:autoSpaceDE w:val="0"/>
        <w:autoSpaceDN w:val="0"/>
        <w:adjustRightInd w:val="0"/>
        <w:ind w:firstLine="540"/>
        <w:jc w:val="both"/>
        <w:rPr>
          <w:b w:val="0"/>
        </w:rPr>
      </w:pPr>
      <w:r w:rsidRPr="00C82C0D">
        <w:rPr>
          <w:b w:val="0"/>
        </w:rPr>
        <w:t>Перечень должностей работников, которым с учетом конкретных условий работы в данном Учреждении, подразделении и должности может устанавливаться выплата, в том числе за каждый час работы, утверждается директором Учреждения в соответствии с законодательством.</w:t>
      </w:r>
    </w:p>
    <w:p w:rsidR="00C82C0D" w:rsidRPr="00C82C0D" w:rsidRDefault="00C82C0D" w:rsidP="00C82C0D">
      <w:pPr>
        <w:widowControl w:val="0"/>
        <w:autoSpaceDE w:val="0"/>
        <w:autoSpaceDN w:val="0"/>
        <w:adjustRightInd w:val="0"/>
        <w:ind w:firstLine="540"/>
        <w:jc w:val="both"/>
        <w:rPr>
          <w:b w:val="0"/>
        </w:rPr>
      </w:pPr>
      <w:r w:rsidRPr="00C82C0D">
        <w:rPr>
          <w:b w:val="0"/>
        </w:rPr>
        <w:t>1.2.2. Выплаты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законодательством.</w:t>
      </w:r>
    </w:p>
    <w:p w:rsidR="00C82C0D" w:rsidRPr="00C82C0D" w:rsidRDefault="00C82C0D" w:rsidP="00C82C0D">
      <w:pPr>
        <w:widowControl w:val="0"/>
        <w:autoSpaceDE w:val="0"/>
        <w:autoSpaceDN w:val="0"/>
        <w:adjustRightInd w:val="0"/>
        <w:ind w:firstLine="540"/>
        <w:jc w:val="both"/>
        <w:rPr>
          <w:b w:val="0"/>
        </w:rPr>
      </w:pPr>
      <w:r w:rsidRPr="00C82C0D">
        <w:rPr>
          <w:b w:val="0"/>
        </w:rPr>
        <w:t>Размер выплат и срок, на который они устанавливаются, определяются по соглашению сторон трудового договора с учетом их содержания и (или) объема.</w:t>
      </w:r>
    </w:p>
    <w:p w:rsidR="00C82C0D" w:rsidRPr="00C82C0D" w:rsidRDefault="00C82C0D" w:rsidP="00C82C0D">
      <w:pPr>
        <w:widowControl w:val="0"/>
        <w:autoSpaceDE w:val="0"/>
        <w:autoSpaceDN w:val="0"/>
        <w:adjustRightInd w:val="0"/>
        <w:ind w:firstLine="540"/>
        <w:jc w:val="both"/>
        <w:rPr>
          <w:b w:val="0"/>
        </w:rPr>
      </w:pPr>
      <w:r w:rsidRPr="00C82C0D">
        <w:rPr>
          <w:b w:val="0"/>
        </w:rPr>
        <w:t xml:space="preserve">1.2.3. Выплата за работу в ночное время устанавливается в соответствии с Трудовым </w:t>
      </w:r>
      <w:hyperlink r:id="rId7" w:history="1">
        <w:r w:rsidRPr="00C82C0D">
          <w:rPr>
            <w:rStyle w:val="ac"/>
            <w:b w:val="0"/>
            <w:color w:val="auto"/>
          </w:rPr>
          <w:t>кодексом</w:t>
        </w:r>
      </w:hyperlink>
      <w:r w:rsidRPr="00C82C0D">
        <w:rPr>
          <w:b w:val="0"/>
        </w:rPr>
        <w:t xml:space="preserve"> Российской Федерации и производится работникам за каждый час работы в ночное время (с 22.00 до 6.00) в размере 35 процентов оклада, рассчитанного за каждый час работы в ночное время.</w:t>
      </w:r>
    </w:p>
    <w:p w:rsidR="00C82C0D" w:rsidRPr="00C82C0D" w:rsidRDefault="00C82C0D" w:rsidP="00C82C0D">
      <w:pPr>
        <w:widowControl w:val="0"/>
        <w:autoSpaceDE w:val="0"/>
        <w:autoSpaceDN w:val="0"/>
        <w:adjustRightInd w:val="0"/>
        <w:ind w:firstLine="540"/>
        <w:jc w:val="both"/>
        <w:rPr>
          <w:b w:val="0"/>
        </w:rPr>
      </w:pPr>
      <w:r w:rsidRPr="00C82C0D">
        <w:rPr>
          <w:b w:val="0"/>
        </w:rPr>
        <w:t>Конкретный перечень подразделений (должностей работников) и размеров выплат утверждается директором Учреждения в соответствии с законодательством.</w:t>
      </w:r>
    </w:p>
    <w:p w:rsidR="00C82C0D" w:rsidRPr="00C82C0D" w:rsidRDefault="00C82C0D" w:rsidP="00C82C0D">
      <w:pPr>
        <w:widowControl w:val="0"/>
        <w:autoSpaceDE w:val="0"/>
        <w:autoSpaceDN w:val="0"/>
        <w:adjustRightInd w:val="0"/>
        <w:ind w:firstLine="540"/>
        <w:jc w:val="both"/>
        <w:rPr>
          <w:b w:val="0"/>
        </w:rPr>
      </w:pPr>
      <w:r w:rsidRPr="00C82C0D">
        <w:rPr>
          <w:b w:val="0"/>
        </w:rPr>
        <w:t xml:space="preserve">1.2.4. Выплата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размерах, установленных Трудовым </w:t>
      </w:r>
      <w:hyperlink r:id="rId8" w:history="1">
        <w:r w:rsidRPr="00C82C0D">
          <w:rPr>
            <w:rStyle w:val="ac"/>
            <w:b w:val="0"/>
            <w:color w:val="auto"/>
          </w:rPr>
          <w:t>кодексом</w:t>
        </w:r>
      </w:hyperlink>
      <w:r w:rsidRPr="00C82C0D">
        <w:rPr>
          <w:b w:val="0"/>
        </w:rPr>
        <w:t xml:space="preserve"> Российской Федерации.</w:t>
      </w:r>
    </w:p>
    <w:p w:rsidR="00C82C0D" w:rsidRPr="00C82C0D" w:rsidRDefault="00C82C0D" w:rsidP="00C82C0D">
      <w:pPr>
        <w:widowControl w:val="0"/>
        <w:autoSpaceDE w:val="0"/>
        <w:autoSpaceDN w:val="0"/>
        <w:adjustRightInd w:val="0"/>
        <w:ind w:firstLine="540"/>
        <w:jc w:val="both"/>
        <w:rPr>
          <w:b w:val="0"/>
        </w:rPr>
      </w:pPr>
      <w:r w:rsidRPr="00C82C0D">
        <w:rPr>
          <w:b w:val="0"/>
        </w:rPr>
        <w:t>Количество рабочих смен и графики сменности в вечернее, ночное время, выходные и праздничные дни устанавливаются директором Учреждения в соответствии с действующим законодательством.</w:t>
      </w:r>
    </w:p>
    <w:p w:rsidR="00C82C0D" w:rsidRPr="00C82C0D" w:rsidRDefault="00C82C0D" w:rsidP="00C82C0D">
      <w:pPr>
        <w:widowControl w:val="0"/>
        <w:autoSpaceDE w:val="0"/>
        <w:autoSpaceDN w:val="0"/>
        <w:adjustRightInd w:val="0"/>
        <w:ind w:firstLine="540"/>
        <w:jc w:val="both"/>
        <w:rPr>
          <w:b w:val="0"/>
        </w:rPr>
      </w:pPr>
      <w:r w:rsidRPr="00C82C0D">
        <w:rPr>
          <w:b w:val="0"/>
        </w:rPr>
        <w:t>1.2.5.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C82C0D" w:rsidRPr="00C82C0D" w:rsidRDefault="00C82C0D" w:rsidP="00C82C0D">
      <w:pPr>
        <w:widowControl w:val="0"/>
        <w:autoSpaceDE w:val="0"/>
        <w:autoSpaceDN w:val="0"/>
        <w:adjustRightInd w:val="0"/>
        <w:ind w:firstLine="540"/>
        <w:jc w:val="both"/>
        <w:rPr>
          <w:b w:val="0"/>
        </w:rPr>
      </w:pPr>
      <w:r w:rsidRPr="00C82C0D">
        <w:rPr>
          <w:b w:val="0"/>
        </w:rPr>
        <w:t>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C82C0D" w:rsidRPr="00C82C0D" w:rsidRDefault="00C82C0D" w:rsidP="00C82C0D">
      <w:pPr>
        <w:widowControl w:val="0"/>
        <w:autoSpaceDE w:val="0"/>
        <w:autoSpaceDN w:val="0"/>
        <w:adjustRightInd w:val="0"/>
        <w:ind w:firstLine="540"/>
        <w:jc w:val="both"/>
        <w:rPr>
          <w:b w:val="0"/>
        </w:rPr>
      </w:pPr>
    </w:p>
    <w:p w:rsidR="00C82C0D" w:rsidRDefault="00C82C0D" w:rsidP="00C82C0D">
      <w:pPr>
        <w:widowControl w:val="0"/>
        <w:autoSpaceDE w:val="0"/>
        <w:autoSpaceDN w:val="0"/>
        <w:adjustRightInd w:val="0"/>
        <w:jc w:val="center"/>
        <w:outlineLvl w:val="1"/>
        <w:rPr>
          <w:b w:val="0"/>
        </w:rPr>
      </w:pPr>
      <w:r>
        <w:t xml:space="preserve">Раздел II. </w:t>
      </w:r>
      <w:r w:rsidR="00AB6427">
        <w:t>Выплаты стимулирующего характера</w:t>
      </w:r>
    </w:p>
    <w:p w:rsidR="00C82C0D" w:rsidRDefault="00C82C0D" w:rsidP="00C82C0D">
      <w:pPr>
        <w:widowControl w:val="0"/>
        <w:autoSpaceDE w:val="0"/>
        <w:autoSpaceDN w:val="0"/>
        <w:adjustRightInd w:val="0"/>
        <w:ind w:firstLine="540"/>
        <w:jc w:val="both"/>
      </w:pPr>
    </w:p>
    <w:p w:rsidR="00C82C0D" w:rsidRPr="00C82C0D" w:rsidRDefault="00C82C0D" w:rsidP="00C82C0D">
      <w:pPr>
        <w:widowControl w:val="0"/>
        <w:autoSpaceDE w:val="0"/>
        <w:autoSpaceDN w:val="0"/>
        <w:adjustRightInd w:val="0"/>
        <w:ind w:firstLine="540"/>
        <w:jc w:val="both"/>
        <w:rPr>
          <w:b w:val="0"/>
        </w:rPr>
      </w:pPr>
      <w:r w:rsidRPr="00C82C0D">
        <w:rPr>
          <w:b w:val="0"/>
        </w:rPr>
        <w:t>2.1. Выплаты стимулирующего характера применяются в целях материального поощрения труда директора, заместителя директора по мониторингу и прогнозированию и работников Учреждения.</w:t>
      </w:r>
    </w:p>
    <w:p w:rsidR="00C82C0D" w:rsidRPr="00C82C0D" w:rsidRDefault="00C82C0D" w:rsidP="00C82C0D">
      <w:pPr>
        <w:widowControl w:val="0"/>
        <w:autoSpaceDE w:val="0"/>
        <w:autoSpaceDN w:val="0"/>
        <w:adjustRightInd w:val="0"/>
        <w:ind w:firstLine="540"/>
        <w:jc w:val="both"/>
        <w:rPr>
          <w:b w:val="0"/>
        </w:rPr>
      </w:pPr>
      <w:r w:rsidRPr="00C82C0D">
        <w:rPr>
          <w:b w:val="0"/>
        </w:rPr>
        <w:t>2.2. К выплатам стимулирующего характера относятся:</w:t>
      </w:r>
    </w:p>
    <w:p w:rsidR="00C82C0D" w:rsidRPr="00C82C0D" w:rsidRDefault="00C82C0D" w:rsidP="00C82C0D">
      <w:pPr>
        <w:widowControl w:val="0"/>
        <w:autoSpaceDE w:val="0"/>
        <w:autoSpaceDN w:val="0"/>
        <w:adjustRightInd w:val="0"/>
        <w:ind w:firstLine="540"/>
        <w:jc w:val="both"/>
        <w:rPr>
          <w:b w:val="0"/>
        </w:rPr>
      </w:pPr>
      <w:r w:rsidRPr="00C82C0D">
        <w:rPr>
          <w:b w:val="0"/>
        </w:rPr>
        <w:t>- надбавка за выслугу лет;</w:t>
      </w:r>
    </w:p>
    <w:p w:rsidR="00C82C0D" w:rsidRPr="00C82C0D" w:rsidRDefault="00C82C0D" w:rsidP="00C82C0D">
      <w:pPr>
        <w:widowControl w:val="0"/>
        <w:autoSpaceDE w:val="0"/>
        <w:autoSpaceDN w:val="0"/>
        <w:adjustRightInd w:val="0"/>
        <w:ind w:firstLine="540"/>
        <w:jc w:val="both"/>
        <w:rPr>
          <w:b w:val="0"/>
        </w:rPr>
      </w:pPr>
      <w:r w:rsidRPr="00C82C0D">
        <w:rPr>
          <w:b w:val="0"/>
        </w:rPr>
        <w:t>- надбавка за особые условия; (обеспечения высокого уровня оперативно-технической готовности, специальный режим работы);</w:t>
      </w:r>
    </w:p>
    <w:p w:rsidR="00C82C0D" w:rsidRPr="00C82C0D" w:rsidRDefault="00C82C0D" w:rsidP="00C82C0D">
      <w:pPr>
        <w:widowControl w:val="0"/>
        <w:autoSpaceDE w:val="0"/>
        <w:autoSpaceDN w:val="0"/>
        <w:adjustRightInd w:val="0"/>
        <w:ind w:firstLine="540"/>
        <w:jc w:val="both"/>
        <w:rPr>
          <w:b w:val="0"/>
        </w:rPr>
      </w:pPr>
      <w:r w:rsidRPr="00C82C0D">
        <w:rPr>
          <w:b w:val="0"/>
        </w:rPr>
        <w:t>- ежемесячная премия по итогам работы за месяц в пределах средств, предусматриваемых фондом оплаты труда;</w:t>
      </w:r>
    </w:p>
    <w:p w:rsidR="00C82C0D" w:rsidRPr="00C82C0D" w:rsidRDefault="00C82C0D" w:rsidP="00C82C0D">
      <w:pPr>
        <w:widowControl w:val="0"/>
        <w:autoSpaceDE w:val="0"/>
        <w:autoSpaceDN w:val="0"/>
        <w:adjustRightInd w:val="0"/>
        <w:ind w:firstLine="540"/>
        <w:jc w:val="both"/>
        <w:rPr>
          <w:b w:val="0"/>
        </w:rPr>
      </w:pPr>
      <w:r w:rsidRPr="00C82C0D">
        <w:rPr>
          <w:b w:val="0"/>
        </w:rPr>
        <w:t>- поощрительные выплаты; (материальная помощь к праздничным и юбилейным датам);</w:t>
      </w:r>
    </w:p>
    <w:p w:rsidR="00C82C0D" w:rsidRPr="00C82C0D" w:rsidRDefault="00C82C0D" w:rsidP="00C82C0D">
      <w:pPr>
        <w:widowControl w:val="0"/>
        <w:autoSpaceDE w:val="0"/>
        <w:autoSpaceDN w:val="0"/>
        <w:adjustRightInd w:val="0"/>
        <w:ind w:firstLine="540"/>
        <w:jc w:val="both"/>
        <w:rPr>
          <w:b w:val="0"/>
        </w:rPr>
      </w:pPr>
      <w:r w:rsidRPr="00C82C0D">
        <w:rPr>
          <w:b w:val="0"/>
        </w:rPr>
        <w:lastRenderedPageBreak/>
        <w:t>- доплаты отдельным категориям работников; (до величины прожиточного минимума, установленной в Калужской области для трудоспособного населения (далее – величина прожиточного минимума), при условии если месячная заработная плата директора, заместителя директора по мониторингу и прогнозированию и работников учреждения, полностью отработавших за этот период норму рабочего времени и выполнивших нормы труда (трудовые обязанности), ниже величины прожиточного минимума, - в размере разницы между величиной прожиточного минимума и месячной заработной платой.</w:t>
      </w:r>
    </w:p>
    <w:p w:rsidR="00C82C0D" w:rsidRPr="00C82C0D" w:rsidRDefault="00C82C0D" w:rsidP="00C82C0D">
      <w:pPr>
        <w:widowControl w:val="0"/>
        <w:autoSpaceDE w:val="0"/>
        <w:autoSpaceDN w:val="0"/>
        <w:adjustRightInd w:val="0"/>
        <w:ind w:firstLine="540"/>
        <w:jc w:val="both"/>
        <w:rPr>
          <w:b w:val="0"/>
        </w:rPr>
      </w:pPr>
      <w:r w:rsidRPr="00C82C0D">
        <w:rPr>
          <w:b w:val="0"/>
        </w:rPr>
        <w:t>Выплаты стимулирующего характера устанавливаются в процентах к базовым окладам или в абсолютных размерах директором.</w:t>
      </w:r>
    </w:p>
    <w:p w:rsidR="00C82C0D" w:rsidRPr="00C82C0D" w:rsidRDefault="00C82C0D" w:rsidP="00C82C0D">
      <w:pPr>
        <w:widowControl w:val="0"/>
        <w:autoSpaceDE w:val="0"/>
        <w:autoSpaceDN w:val="0"/>
        <w:adjustRightInd w:val="0"/>
        <w:ind w:firstLine="540"/>
        <w:jc w:val="both"/>
        <w:rPr>
          <w:b w:val="0"/>
        </w:rPr>
      </w:pPr>
      <w:r w:rsidRPr="00C82C0D">
        <w:rPr>
          <w:b w:val="0"/>
        </w:rPr>
        <w:t>2.3. Условия применения, размеры и порядок выплат стимулирующего характера и порядок их осуществления.</w:t>
      </w:r>
    </w:p>
    <w:p w:rsidR="00C82C0D" w:rsidRPr="00C82C0D" w:rsidRDefault="00C82C0D" w:rsidP="00C82C0D">
      <w:pPr>
        <w:widowControl w:val="0"/>
        <w:autoSpaceDE w:val="0"/>
        <w:autoSpaceDN w:val="0"/>
        <w:adjustRightInd w:val="0"/>
        <w:ind w:firstLine="540"/>
        <w:jc w:val="both"/>
        <w:rPr>
          <w:b w:val="0"/>
        </w:rPr>
      </w:pPr>
      <w:r w:rsidRPr="00C82C0D">
        <w:rPr>
          <w:b w:val="0"/>
        </w:rPr>
        <w:t>2.3.1. Надбавка за выслугу лет устанавливается директору, заместителю директора по мониторингу и прогнозированию и работникам Учреждения, занимающим штатные должности в Учреждениях, в том числе в порядке совместительства.</w:t>
      </w:r>
    </w:p>
    <w:p w:rsidR="00C82C0D" w:rsidRPr="00C82C0D" w:rsidRDefault="00C82C0D" w:rsidP="00C82C0D">
      <w:pPr>
        <w:widowControl w:val="0"/>
        <w:autoSpaceDE w:val="0"/>
        <w:autoSpaceDN w:val="0"/>
        <w:adjustRightInd w:val="0"/>
        <w:ind w:firstLine="540"/>
        <w:jc w:val="both"/>
        <w:rPr>
          <w:b w:val="0"/>
        </w:rPr>
      </w:pPr>
      <w:r w:rsidRPr="00C82C0D">
        <w:rPr>
          <w:b w:val="0"/>
        </w:rPr>
        <w:t>Надбавка за выслугу лет выплачивается к базовому окладу в следующих размерах при выслуге лет:</w:t>
      </w:r>
    </w:p>
    <w:p w:rsidR="00C82C0D" w:rsidRPr="00C82C0D" w:rsidRDefault="00C82C0D" w:rsidP="00C82C0D">
      <w:pPr>
        <w:widowControl w:val="0"/>
        <w:autoSpaceDE w:val="0"/>
        <w:autoSpaceDN w:val="0"/>
        <w:adjustRightInd w:val="0"/>
        <w:ind w:firstLine="540"/>
        <w:jc w:val="both"/>
        <w:rPr>
          <w:b w:val="0"/>
        </w:rPr>
      </w:pPr>
      <w:r w:rsidRPr="00C82C0D">
        <w:rPr>
          <w:b w:val="0"/>
        </w:rPr>
        <w:t>свыше 1 года - 5 процентов;</w:t>
      </w:r>
    </w:p>
    <w:p w:rsidR="00C82C0D" w:rsidRPr="00C82C0D" w:rsidRDefault="00C82C0D" w:rsidP="00C82C0D">
      <w:pPr>
        <w:widowControl w:val="0"/>
        <w:autoSpaceDE w:val="0"/>
        <w:autoSpaceDN w:val="0"/>
        <w:adjustRightInd w:val="0"/>
        <w:ind w:firstLine="540"/>
        <w:jc w:val="both"/>
        <w:rPr>
          <w:b w:val="0"/>
        </w:rPr>
      </w:pPr>
      <w:r w:rsidRPr="00C82C0D">
        <w:rPr>
          <w:b w:val="0"/>
        </w:rPr>
        <w:t>свыше 3 лет - 10 процентов;</w:t>
      </w:r>
    </w:p>
    <w:p w:rsidR="00C82C0D" w:rsidRPr="00C82C0D" w:rsidRDefault="00C82C0D" w:rsidP="00C82C0D">
      <w:pPr>
        <w:widowControl w:val="0"/>
        <w:autoSpaceDE w:val="0"/>
        <w:autoSpaceDN w:val="0"/>
        <w:adjustRightInd w:val="0"/>
        <w:ind w:firstLine="540"/>
        <w:jc w:val="both"/>
        <w:rPr>
          <w:b w:val="0"/>
        </w:rPr>
      </w:pPr>
      <w:r w:rsidRPr="00C82C0D">
        <w:rPr>
          <w:b w:val="0"/>
        </w:rPr>
        <w:t>свыше 5 лет - 15 процентов;</w:t>
      </w:r>
    </w:p>
    <w:p w:rsidR="00C82C0D" w:rsidRPr="00C82C0D" w:rsidRDefault="00C82C0D" w:rsidP="00C82C0D">
      <w:pPr>
        <w:widowControl w:val="0"/>
        <w:autoSpaceDE w:val="0"/>
        <w:autoSpaceDN w:val="0"/>
        <w:adjustRightInd w:val="0"/>
        <w:ind w:firstLine="540"/>
        <w:jc w:val="both"/>
        <w:rPr>
          <w:b w:val="0"/>
        </w:rPr>
      </w:pPr>
      <w:r w:rsidRPr="00C82C0D">
        <w:rPr>
          <w:b w:val="0"/>
        </w:rPr>
        <w:t>свыше 10 лет - 20 процентов;</w:t>
      </w:r>
    </w:p>
    <w:p w:rsidR="00C82C0D" w:rsidRPr="00C82C0D" w:rsidRDefault="00C82C0D" w:rsidP="00C82C0D">
      <w:pPr>
        <w:widowControl w:val="0"/>
        <w:autoSpaceDE w:val="0"/>
        <w:autoSpaceDN w:val="0"/>
        <w:adjustRightInd w:val="0"/>
        <w:ind w:firstLine="540"/>
        <w:jc w:val="both"/>
        <w:rPr>
          <w:b w:val="0"/>
        </w:rPr>
      </w:pPr>
      <w:r w:rsidRPr="00C82C0D">
        <w:rPr>
          <w:b w:val="0"/>
        </w:rPr>
        <w:t>свыше 15 лет - 30 процентов.</w:t>
      </w:r>
    </w:p>
    <w:p w:rsidR="00C82C0D" w:rsidRPr="00C82C0D" w:rsidRDefault="00C82C0D" w:rsidP="00C82C0D">
      <w:pPr>
        <w:widowControl w:val="0"/>
        <w:autoSpaceDE w:val="0"/>
        <w:autoSpaceDN w:val="0"/>
        <w:adjustRightInd w:val="0"/>
        <w:ind w:firstLine="540"/>
        <w:jc w:val="both"/>
        <w:rPr>
          <w:b w:val="0"/>
        </w:rPr>
      </w:pPr>
      <w:r w:rsidRPr="00C82C0D">
        <w:rPr>
          <w:b w:val="0"/>
        </w:rPr>
        <w:t xml:space="preserve">Порядок определения выслуги лет, условия установления надбавки за выслугу лет директору, заместителю директора по мониторингу и прогнозированию и работникам Учреждения об исчислении стажа работы устанавливаются в порядке предусмотренным пунктом 2.3.1 Приложения 5  «Виды, условия применения, размер выплат компенсационного и стимулирующего характера и порядок их осуществления руководителям, заместителям руководителей, главным бухгалтерам и работникам учреждения», к Закону Калужской области </w:t>
      </w:r>
      <w:r w:rsidRPr="00C82C0D">
        <w:rPr>
          <w:b w:val="0"/>
          <w:bCs w:val="0"/>
        </w:rPr>
        <w:t>от 01.10.2012 №122-ОЗ «Об установлении системы оплаты труда работников государственных учреждений Калужской области, осуществляющих деятельность в сфере обеспечения безопасности жизнедеятельности населения Калужской области»</w:t>
      </w:r>
      <w:r w:rsidRPr="00C82C0D">
        <w:rPr>
          <w:b w:val="0"/>
        </w:rPr>
        <w:t>, дающего право на выплату ежемесячной процентной надбавки за выслугу лет.</w:t>
      </w:r>
    </w:p>
    <w:p w:rsidR="00C82C0D" w:rsidRPr="00C82C0D" w:rsidRDefault="00C82C0D" w:rsidP="00C82C0D">
      <w:pPr>
        <w:widowControl w:val="0"/>
        <w:autoSpaceDE w:val="0"/>
        <w:autoSpaceDN w:val="0"/>
        <w:adjustRightInd w:val="0"/>
        <w:ind w:firstLine="540"/>
        <w:jc w:val="both"/>
        <w:rPr>
          <w:b w:val="0"/>
        </w:rPr>
      </w:pPr>
      <w:r w:rsidRPr="00C82C0D">
        <w:rPr>
          <w:b w:val="0"/>
        </w:rPr>
        <w:t>2.3.2. Надбавка за особые условия труда (обеспечение высокого уровня оперативно-технической готовности, специальный режим работы) производится директору, заместителю директора по мониторингу и прогнозированию и работникам Учреждения и устанавливается на определенный срок, но не более 1 года, в процентном отношении от базового оклада до 50 процентов.</w:t>
      </w:r>
    </w:p>
    <w:p w:rsidR="00C82C0D" w:rsidRPr="00C82C0D" w:rsidRDefault="00C82C0D" w:rsidP="00C82C0D">
      <w:pPr>
        <w:widowControl w:val="0"/>
        <w:autoSpaceDE w:val="0"/>
        <w:autoSpaceDN w:val="0"/>
        <w:adjustRightInd w:val="0"/>
        <w:ind w:firstLine="540"/>
        <w:jc w:val="both"/>
        <w:rPr>
          <w:b w:val="0"/>
        </w:rPr>
      </w:pPr>
      <w:r w:rsidRPr="00C82C0D">
        <w:rPr>
          <w:b w:val="0"/>
        </w:rPr>
        <w:t>Условия применения, размеры надбавки за особые условия труда (обеспечение высокого уровня оперативно-технической готовности, специальный режим работы) и порядок ее осуществления работникам Учреждения определяются в соответствии с законодательством, коллективными договорами, соглашениями, локальными нормативными актами работодателя.</w:t>
      </w:r>
    </w:p>
    <w:p w:rsidR="00C82C0D" w:rsidRPr="00C82C0D" w:rsidRDefault="00C82C0D" w:rsidP="00C82C0D">
      <w:pPr>
        <w:widowControl w:val="0"/>
        <w:autoSpaceDE w:val="0"/>
        <w:autoSpaceDN w:val="0"/>
        <w:adjustRightInd w:val="0"/>
        <w:ind w:firstLine="540"/>
        <w:jc w:val="both"/>
        <w:rPr>
          <w:b w:val="0"/>
        </w:rPr>
      </w:pPr>
      <w:r w:rsidRPr="00C82C0D">
        <w:rPr>
          <w:b w:val="0"/>
        </w:rPr>
        <w:t xml:space="preserve">Условия применения, размеры надбавки за особые условия труда (обеспечение высокого уровня оперативно-технической готовности, специальный режим работы) и порядок ее осуществления директору Учреждения устанавливаются администрацией муниципального района «Мещовский район» в </w:t>
      </w:r>
      <w:r w:rsidRPr="00C82C0D">
        <w:rPr>
          <w:b w:val="0"/>
        </w:rPr>
        <w:lastRenderedPageBreak/>
        <w:t>соответствии с законодательством.</w:t>
      </w:r>
    </w:p>
    <w:p w:rsidR="00C82C0D" w:rsidRPr="00C82C0D" w:rsidRDefault="00C82C0D" w:rsidP="00C82C0D">
      <w:pPr>
        <w:widowControl w:val="0"/>
        <w:autoSpaceDE w:val="0"/>
        <w:autoSpaceDN w:val="0"/>
        <w:adjustRightInd w:val="0"/>
        <w:ind w:firstLine="540"/>
        <w:jc w:val="both"/>
        <w:rPr>
          <w:b w:val="0"/>
        </w:rPr>
      </w:pPr>
      <w:r w:rsidRPr="00C82C0D">
        <w:rPr>
          <w:b w:val="0"/>
        </w:rPr>
        <w:t>2.3.3. Поощрительные выплаты за качество и результативность выполняемых работ, выполнение особо важных или срочных работ директору, заместителю директора по мониторингу и прогнозированию и работникам Учреждения производятся с учетом выполнения качественных и количественных показателей деятельности Учреждения в целях повышения материальной заинтересованности в результатах своего труда, создания условий для проявления профессионализма, творческой активности и инициативы, повышения качества выполняемых работ.</w:t>
      </w:r>
    </w:p>
    <w:p w:rsidR="00C82C0D" w:rsidRPr="00C82C0D" w:rsidRDefault="00C82C0D" w:rsidP="00C82C0D">
      <w:pPr>
        <w:widowControl w:val="0"/>
        <w:autoSpaceDE w:val="0"/>
        <w:autoSpaceDN w:val="0"/>
        <w:adjustRightInd w:val="0"/>
        <w:ind w:firstLine="540"/>
        <w:jc w:val="both"/>
        <w:rPr>
          <w:b w:val="0"/>
        </w:rPr>
      </w:pPr>
      <w:r w:rsidRPr="00C82C0D">
        <w:rPr>
          <w:b w:val="0"/>
        </w:rPr>
        <w:t>Размер, порядок и условия премирования работников Учреждения, директора по мониторингу и прогнозированию по результатам труда, включая показатели эффективности труда, устанавливаются в соответствии с законодательством, коллективными договорами, соглашениями, локальными нормативными актами работодателя.</w:t>
      </w:r>
    </w:p>
    <w:p w:rsidR="00C82C0D" w:rsidRPr="00C82C0D" w:rsidRDefault="00C82C0D" w:rsidP="00C82C0D">
      <w:pPr>
        <w:widowControl w:val="0"/>
        <w:autoSpaceDE w:val="0"/>
        <w:autoSpaceDN w:val="0"/>
        <w:adjustRightInd w:val="0"/>
        <w:ind w:firstLine="540"/>
        <w:jc w:val="both"/>
        <w:rPr>
          <w:b w:val="0"/>
        </w:rPr>
      </w:pPr>
      <w:r w:rsidRPr="00C82C0D">
        <w:rPr>
          <w:b w:val="0"/>
        </w:rPr>
        <w:t>Размер, порядок и условия премирования директора Учреждения устанавливаются администрацией муниципального района «Мещовский район» в соответствии с законодательством.</w:t>
      </w:r>
    </w:p>
    <w:p w:rsidR="00C82C0D" w:rsidRPr="00C82C0D" w:rsidRDefault="00C82C0D" w:rsidP="00C82C0D">
      <w:pPr>
        <w:widowControl w:val="0"/>
        <w:autoSpaceDE w:val="0"/>
        <w:autoSpaceDN w:val="0"/>
        <w:adjustRightInd w:val="0"/>
        <w:ind w:firstLine="540"/>
        <w:jc w:val="both"/>
        <w:rPr>
          <w:b w:val="0"/>
        </w:rPr>
      </w:pPr>
      <w:r w:rsidRPr="00C82C0D">
        <w:rPr>
          <w:b w:val="0"/>
        </w:rPr>
        <w:t>2.3.4. Поощрительные выплаты в виде (материальной помощи и премировании) директору, заместителю директора по мониторингу и прогнозированию и работникам Учреждения устанавливаются в связи с юбилейными и праздничными датами за безупречную и эффективную работу и другие достижения.</w:t>
      </w:r>
    </w:p>
    <w:p w:rsidR="00C82C0D" w:rsidRPr="00C82C0D" w:rsidRDefault="00C82C0D" w:rsidP="00C82C0D">
      <w:pPr>
        <w:widowControl w:val="0"/>
        <w:autoSpaceDE w:val="0"/>
        <w:autoSpaceDN w:val="0"/>
        <w:adjustRightInd w:val="0"/>
        <w:ind w:firstLine="540"/>
        <w:jc w:val="both"/>
        <w:rPr>
          <w:b w:val="0"/>
        </w:rPr>
      </w:pPr>
      <w:r w:rsidRPr="00C82C0D">
        <w:rPr>
          <w:b w:val="0"/>
        </w:rPr>
        <w:t>Условия применения, размер поощрительных выплат и порядок их осуществления заместителю директора по мониторингу и прогнозированию, работникам Учреждения определяются в соответствии с законодательством, коллективными договорами, соглашениями, локальными нормативными актами работодателя.</w:t>
      </w:r>
    </w:p>
    <w:p w:rsidR="00C82C0D" w:rsidRPr="00C82C0D" w:rsidRDefault="00C82C0D" w:rsidP="00C82C0D">
      <w:pPr>
        <w:widowControl w:val="0"/>
        <w:autoSpaceDE w:val="0"/>
        <w:autoSpaceDN w:val="0"/>
        <w:adjustRightInd w:val="0"/>
        <w:ind w:firstLine="540"/>
        <w:jc w:val="both"/>
        <w:rPr>
          <w:b w:val="0"/>
        </w:rPr>
      </w:pPr>
      <w:r w:rsidRPr="00C82C0D">
        <w:rPr>
          <w:b w:val="0"/>
        </w:rPr>
        <w:t>Условия применения, размер поощрительных выплат и порядок их осуществления директору Учреждения устанавливаются администрацией муниципального района «Мещовский район» в соответствии с законодательством.</w:t>
      </w:r>
    </w:p>
    <w:p w:rsidR="00C82C0D" w:rsidRPr="00C82C0D" w:rsidRDefault="00C82C0D" w:rsidP="00C82C0D">
      <w:pPr>
        <w:widowControl w:val="0"/>
        <w:autoSpaceDE w:val="0"/>
        <w:autoSpaceDN w:val="0"/>
        <w:adjustRightInd w:val="0"/>
        <w:ind w:firstLine="540"/>
        <w:jc w:val="both"/>
        <w:rPr>
          <w:b w:val="0"/>
        </w:rPr>
      </w:pPr>
    </w:p>
    <w:p w:rsidR="00C82C0D" w:rsidRPr="00C82C0D" w:rsidRDefault="00C82C0D" w:rsidP="00C82C0D">
      <w:pPr>
        <w:rPr>
          <w:b w:val="0"/>
        </w:rPr>
      </w:pPr>
    </w:p>
    <w:p w:rsidR="00C82C0D" w:rsidRPr="00C82C0D" w:rsidRDefault="00C82C0D" w:rsidP="00C82C0D">
      <w:pPr>
        <w:rPr>
          <w:b w:val="0"/>
        </w:rPr>
      </w:pPr>
    </w:p>
    <w:p w:rsidR="00C82C0D" w:rsidRPr="00C82C0D" w:rsidRDefault="00C82C0D" w:rsidP="00C82C0D">
      <w:pPr>
        <w:rPr>
          <w:b w:val="0"/>
        </w:rPr>
      </w:pPr>
    </w:p>
    <w:p w:rsidR="00C82C0D" w:rsidRPr="00C82C0D" w:rsidRDefault="00C82C0D" w:rsidP="00C82C0D">
      <w:pPr>
        <w:rPr>
          <w:b w:val="0"/>
        </w:rPr>
      </w:pPr>
    </w:p>
    <w:p w:rsidR="00C82C0D" w:rsidRPr="00C82C0D" w:rsidRDefault="00C82C0D" w:rsidP="00C82C0D">
      <w:pPr>
        <w:rPr>
          <w:b w:val="0"/>
        </w:rPr>
      </w:pPr>
    </w:p>
    <w:p w:rsidR="00C82C0D" w:rsidRPr="00C82C0D" w:rsidRDefault="00C82C0D" w:rsidP="00C82C0D">
      <w:pPr>
        <w:rPr>
          <w:b w:val="0"/>
        </w:rPr>
      </w:pPr>
    </w:p>
    <w:p w:rsidR="00C82C0D" w:rsidRPr="00C82C0D" w:rsidRDefault="00C82C0D" w:rsidP="00C82C0D">
      <w:pPr>
        <w:rPr>
          <w:b w:val="0"/>
        </w:rPr>
      </w:pPr>
    </w:p>
    <w:p w:rsidR="00C82C0D" w:rsidRPr="00C82C0D" w:rsidRDefault="00C82C0D" w:rsidP="00C82C0D">
      <w:pPr>
        <w:rPr>
          <w:b w:val="0"/>
        </w:rPr>
      </w:pPr>
    </w:p>
    <w:p w:rsidR="00C82C0D" w:rsidRPr="001E3A46" w:rsidRDefault="00C82C0D" w:rsidP="00C82C0D">
      <w:pPr>
        <w:jc w:val="right"/>
        <w:rPr>
          <w:bCs w:val="0"/>
          <w:sz w:val="28"/>
          <w:szCs w:val="28"/>
        </w:rPr>
      </w:pPr>
    </w:p>
    <w:p w:rsidR="00C82C0D" w:rsidRDefault="00C82C0D" w:rsidP="00C82C0D">
      <w:pPr>
        <w:jc w:val="right"/>
        <w:rPr>
          <w:b w:val="0"/>
          <w:bCs w:val="0"/>
          <w:sz w:val="28"/>
          <w:szCs w:val="28"/>
        </w:rPr>
      </w:pPr>
      <w:r w:rsidRPr="001E3A46">
        <w:rPr>
          <w:bCs w:val="0"/>
          <w:sz w:val="28"/>
          <w:szCs w:val="28"/>
        </w:rPr>
        <w:tab/>
      </w:r>
    </w:p>
    <w:p w:rsidR="00C82C0D" w:rsidRDefault="00C82C0D" w:rsidP="00C82C0D">
      <w:pPr>
        <w:jc w:val="right"/>
        <w:rPr>
          <w:b w:val="0"/>
          <w:bCs w:val="0"/>
          <w:sz w:val="28"/>
          <w:szCs w:val="28"/>
        </w:rPr>
      </w:pPr>
    </w:p>
    <w:p w:rsidR="00C82C0D" w:rsidRDefault="00C82C0D" w:rsidP="00C82C0D">
      <w:pPr>
        <w:jc w:val="right"/>
        <w:rPr>
          <w:b w:val="0"/>
          <w:bCs w:val="0"/>
          <w:sz w:val="28"/>
          <w:szCs w:val="28"/>
        </w:rPr>
      </w:pPr>
    </w:p>
    <w:p w:rsidR="00C82C0D" w:rsidRDefault="00C82C0D" w:rsidP="00C82C0D">
      <w:pPr>
        <w:jc w:val="right"/>
        <w:rPr>
          <w:b w:val="0"/>
          <w:bCs w:val="0"/>
          <w:sz w:val="28"/>
          <w:szCs w:val="28"/>
        </w:rPr>
      </w:pPr>
    </w:p>
    <w:p w:rsidR="00C82C0D" w:rsidRDefault="00C82C0D" w:rsidP="00C82C0D">
      <w:pPr>
        <w:jc w:val="right"/>
        <w:rPr>
          <w:b w:val="0"/>
          <w:bCs w:val="0"/>
          <w:sz w:val="28"/>
          <w:szCs w:val="28"/>
        </w:rPr>
      </w:pPr>
    </w:p>
    <w:p w:rsidR="00C82C0D" w:rsidRDefault="00C82C0D" w:rsidP="00C82C0D">
      <w:pPr>
        <w:jc w:val="right"/>
        <w:rPr>
          <w:b w:val="0"/>
          <w:bCs w:val="0"/>
          <w:sz w:val="28"/>
          <w:szCs w:val="28"/>
        </w:rPr>
      </w:pPr>
    </w:p>
    <w:p w:rsidR="00C82C0D" w:rsidRDefault="00C82C0D" w:rsidP="00C82C0D">
      <w:pPr>
        <w:jc w:val="right"/>
        <w:rPr>
          <w:b w:val="0"/>
          <w:bCs w:val="0"/>
          <w:sz w:val="28"/>
          <w:szCs w:val="28"/>
        </w:rPr>
      </w:pPr>
    </w:p>
    <w:p w:rsidR="00C82C0D" w:rsidRDefault="00C82C0D" w:rsidP="00C82C0D">
      <w:pPr>
        <w:jc w:val="right"/>
        <w:rPr>
          <w:b w:val="0"/>
          <w:bCs w:val="0"/>
          <w:sz w:val="28"/>
          <w:szCs w:val="28"/>
        </w:rPr>
      </w:pPr>
    </w:p>
    <w:p w:rsidR="00402C92" w:rsidRDefault="00402C92" w:rsidP="00AB6427">
      <w:pPr>
        <w:widowControl w:val="0"/>
        <w:autoSpaceDE w:val="0"/>
        <w:autoSpaceDN w:val="0"/>
        <w:adjustRightInd w:val="0"/>
        <w:jc w:val="right"/>
        <w:outlineLvl w:val="0"/>
        <w:rPr>
          <w:b w:val="0"/>
        </w:rPr>
      </w:pPr>
    </w:p>
    <w:p w:rsidR="00AB6427" w:rsidRPr="00C82C0D" w:rsidRDefault="00AB6427" w:rsidP="00AB6427">
      <w:pPr>
        <w:widowControl w:val="0"/>
        <w:autoSpaceDE w:val="0"/>
        <w:autoSpaceDN w:val="0"/>
        <w:adjustRightInd w:val="0"/>
        <w:jc w:val="right"/>
        <w:outlineLvl w:val="0"/>
        <w:rPr>
          <w:b w:val="0"/>
        </w:rPr>
      </w:pPr>
      <w:r w:rsidRPr="00C82C0D">
        <w:rPr>
          <w:b w:val="0"/>
        </w:rPr>
        <w:lastRenderedPageBreak/>
        <w:t xml:space="preserve">Приложение </w:t>
      </w:r>
      <w:r>
        <w:rPr>
          <w:b w:val="0"/>
        </w:rPr>
        <w:t>4</w:t>
      </w:r>
    </w:p>
    <w:p w:rsidR="00AB6427" w:rsidRDefault="00AB6427" w:rsidP="00AB6427">
      <w:pPr>
        <w:pStyle w:val="ab"/>
        <w:jc w:val="right"/>
        <w:rPr>
          <w:rFonts w:ascii="Times New Roman" w:hAnsi="Times New Roman"/>
          <w:sz w:val="26"/>
          <w:szCs w:val="26"/>
        </w:rPr>
      </w:pPr>
      <w:r>
        <w:rPr>
          <w:rFonts w:ascii="Times New Roman" w:hAnsi="Times New Roman"/>
          <w:sz w:val="26"/>
          <w:szCs w:val="26"/>
        </w:rPr>
        <w:t>к Положению об оплате труда и премировании</w:t>
      </w:r>
    </w:p>
    <w:p w:rsidR="00AB6427" w:rsidRDefault="00AB6427" w:rsidP="00AB6427">
      <w:pPr>
        <w:pStyle w:val="ab"/>
        <w:jc w:val="right"/>
        <w:rPr>
          <w:rFonts w:ascii="Times New Roman" w:hAnsi="Times New Roman"/>
          <w:sz w:val="26"/>
          <w:szCs w:val="26"/>
        </w:rPr>
      </w:pPr>
      <w:r>
        <w:rPr>
          <w:rFonts w:ascii="Times New Roman" w:hAnsi="Times New Roman"/>
          <w:sz w:val="26"/>
          <w:szCs w:val="26"/>
        </w:rPr>
        <w:t>работников муниципального казённого учреждения</w:t>
      </w:r>
    </w:p>
    <w:p w:rsidR="00AB6427" w:rsidRPr="00C82C0D" w:rsidRDefault="00AB6427" w:rsidP="00AB6427">
      <w:pPr>
        <w:pStyle w:val="ab"/>
        <w:jc w:val="right"/>
        <w:rPr>
          <w:rFonts w:ascii="Times New Roman" w:hAnsi="Times New Roman"/>
          <w:sz w:val="26"/>
          <w:szCs w:val="26"/>
        </w:rPr>
      </w:pPr>
      <w:r>
        <w:rPr>
          <w:rFonts w:ascii="Times New Roman" w:hAnsi="Times New Roman"/>
          <w:sz w:val="26"/>
          <w:szCs w:val="26"/>
        </w:rPr>
        <w:t>Единая дежурно-диспетчерская служба</w:t>
      </w:r>
    </w:p>
    <w:p w:rsidR="00C82C0D" w:rsidRDefault="00C82C0D" w:rsidP="00C82C0D">
      <w:pPr>
        <w:jc w:val="right"/>
        <w:rPr>
          <w:b w:val="0"/>
          <w:bCs w:val="0"/>
          <w:sz w:val="28"/>
          <w:szCs w:val="28"/>
        </w:rPr>
      </w:pPr>
    </w:p>
    <w:p w:rsidR="00C82C0D" w:rsidRPr="001E3A46" w:rsidRDefault="00C82C0D" w:rsidP="00C82C0D">
      <w:pPr>
        <w:rPr>
          <w:bCs w:val="0"/>
          <w:sz w:val="28"/>
          <w:szCs w:val="28"/>
        </w:rPr>
      </w:pPr>
    </w:p>
    <w:p w:rsidR="00C82C0D" w:rsidRPr="001E3A46" w:rsidRDefault="00C82C0D" w:rsidP="00C82C0D">
      <w:pPr>
        <w:rPr>
          <w:bCs w:val="0"/>
          <w:sz w:val="28"/>
          <w:szCs w:val="28"/>
        </w:rPr>
      </w:pPr>
    </w:p>
    <w:p w:rsidR="00C82C0D" w:rsidRPr="001E3A46" w:rsidRDefault="00C82C0D" w:rsidP="00C82C0D">
      <w:pPr>
        <w:jc w:val="center"/>
        <w:rPr>
          <w:b w:val="0"/>
          <w:bCs w:val="0"/>
          <w:sz w:val="28"/>
          <w:szCs w:val="28"/>
        </w:rPr>
      </w:pPr>
      <w:r w:rsidRPr="001E3A46">
        <w:rPr>
          <w:bCs w:val="0"/>
          <w:sz w:val="28"/>
          <w:szCs w:val="28"/>
        </w:rPr>
        <w:t>РАЗДЕЛ I. ПОРЯДОК ИСЧИСЛЕНИЯ РАЗМЕРА СРЕДНЕЙ ЗАРАБОТНОЙ ПЛАТЫ ДЛЯ ОПРЕДЕЛЕНИЯ РАЗМЕРА ДОЛЖНОСТНОГО ОКЛАДА ДИРЕКТОРА УЧРЕЖДЕНИЯ.</w:t>
      </w:r>
    </w:p>
    <w:p w:rsidR="00C82C0D" w:rsidRPr="001E3A46" w:rsidRDefault="00C82C0D" w:rsidP="00C82C0D">
      <w:pPr>
        <w:rPr>
          <w:bCs w:val="0"/>
          <w:sz w:val="28"/>
          <w:szCs w:val="28"/>
        </w:rPr>
      </w:pPr>
    </w:p>
    <w:p w:rsidR="00C82C0D" w:rsidRPr="00AB6427" w:rsidRDefault="00C82C0D" w:rsidP="00C82C0D">
      <w:pPr>
        <w:ind w:firstLine="709"/>
        <w:jc w:val="both"/>
        <w:rPr>
          <w:b w:val="0"/>
          <w:bCs w:val="0"/>
        </w:rPr>
      </w:pPr>
      <w:r w:rsidRPr="00AB6427">
        <w:rPr>
          <w:b w:val="0"/>
          <w:bCs w:val="0"/>
        </w:rPr>
        <w:t>1. Должностной оклад руководителя учреждения, определяемый трудовым договором, устанавливается не более чем в двукратном размере по отношению к средней заработной плате основного персонала возглавляемого им учреждения.</w:t>
      </w:r>
    </w:p>
    <w:p w:rsidR="00C82C0D" w:rsidRPr="00AB6427" w:rsidRDefault="00C82C0D" w:rsidP="00C82C0D">
      <w:pPr>
        <w:ind w:firstLine="709"/>
        <w:jc w:val="both"/>
        <w:rPr>
          <w:b w:val="0"/>
          <w:bCs w:val="0"/>
        </w:rPr>
      </w:pPr>
      <w:r w:rsidRPr="00AB6427">
        <w:rPr>
          <w:b w:val="0"/>
          <w:bCs w:val="0"/>
        </w:rPr>
        <w:t>При расчете средней заработной платы учитываются базовые должностные оклады и выплаты стимулирующего характера работникам основного персонала за счет всех источников финансирования.</w:t>
      </w:r>
    </w:p>
    <w:p w:rsidR="00C82C0D" w:rsidRPr="00AB6427" w:rsidRDefault="00C82C0D" w:rsidP="00C82C0D">
      <w:pPr>
        <w:ind w:firstLine="709"/>
        <w:jc w:val="both"/>
        <w:rPr>
          <w:b w:val="0"/>
          <w:bCs w:val="0"/>
        </w:rPr>
      </w:pPr>
      <w:r w:rsidRPr="00AB6427">
        <w:rPr>
          <w:b w:val="0"/>
          <w:bCs w:val="0"/>
        </w:rPr>
        <w:t>Расчет средней заработной платы работников основного персонала осуществляется за календарный год, предшествующий году установления должностного оклада руководителя учреждения.</w:t>
      </w:r>
    </w:p>
    <w:p w:rsidR="00C82C0D" w:rsidRPr="00AB6427" w:rsidRDefault="00C82C0D" w:rsidP="00C82C0D">
      <w:pPr>
        <w:ind w:firstLine="709"/>
        <w:jc w:val="both"/>
        <w:rPr>
          <w:b w:val="0"/>
          <w:bCs w:val="0"/>
        </w:rPr>
      </w:pPr>
      <w:r w:rsidRPr="00AB6427">
        <w:rPr>
          <w:b w:val="0"/>
          <w:bCs w:val="0"/>
        </w:rPr>
        <w:t>При расчете средней заработной платы не учитываются выплаты компенсационного характера работникам основного персонала.</w:t>
      </w:r>
    </w:p>
    <w:p w:rsidR="00C82C0D" w:rsidRPr="00AB6427" w:rsidRDefault="00C82C0D" w:rsidP="00C82C0D">
      <w:pPr>
        <w:ind w:firstLine="709"/>
        <w:jc w:val="both"/>
        <w:rPr>
          <w:b w:val="0"/>
          <w:bCs w:val="0"/>
        </w:rPr>
      </w:pPr>
      <w:r w:rsidRPr="00AB6427">
        <w:rPr>
          <w:b w:val="0"/>
          <w:bCs w:val="0"/>
        </w:rPr>
        <w:t>2. Средняя заработная плата работников основного персонала определяется путем деления суммы окладов и выплат стимулирующего характера работникам основного персонала за отработанное время в предшествующем календарном году на сумму среднемесячной численности работников основного персонала за все месяцы календарного года, предшествующего году установления должностного оклада руководителя учреждения.</w:t>
      </w:r>
    </w:p>
    <w:p w:rsidR="00C82C0D" w:rsidRPr="00AB6427" w:rsidRDefault="00C82C0D" w:rsidP="00C82C0D">
      <w:pPr>
        <w:ind w:firstLine="709"/>
        <w:jc w:val="both"/>
        <w:rPr>
          <w:b w:val="0"/>
          <w:bCs w:val="0"/>
        </w:rPr>
      </w:pPr>
      <w:r w:rsidRPr="00AB6427">
        <w:rPr>
          <w:b w:val="0"/>
          <w:bCs w:val="0"/>
        </w:rPr>
        <w:t>3. При определении среднемесячной численности работников основного персонала учитывается среднемесячная численность работников основного персонала, работающих на условиях полного рабочего времени, среднемесячная численность работников основного персонала, работающих на условиях неполного рабочего времени, и среднемесячная численность работников основного персонала, являющихся внешними совместителями.</w:t>
      </w:r>
    </w:p>
    <w:p w:rsidR="00C82C0D" w:rsidRPr="00AB6427" w:rsidRDefault="00C82C0D" w:rsidP="00C82C0D">
      <w:pPr>
        <w:ind w:firstLine="709"/>
        <w:jc w:val="both"/>
        <w:rPr>
          <w:b w:val="0"/>
          <w:bCs w:val="0"/>
        </w:rPr>
      </w:pPr>
      <w:r w:rsidRPr="00AB6427">
        <w:rPr>
          <w:b w:val="0"/>
          <w:bCs w:val="0"/>
        </w:rPr>
        <w:t>4. Среднемесячная численность работников основного персонала, работающих на условиях полного рабочего времени, исчисляется путем суммирования численности работников основного персонала, работающих на условиях полного рабочего времени, за каждый календарный день месяца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C82C0D" w:rsidRPr="00AB6427" w:rsidRDefault="00C82C0D" w:rsidP="00C82C0D">
      <w:pPr>
        <w:ind w:firstLine="709"/>
        <w:jc w:val="both"/>
        <w:rPr>
          <w:b w:val="0"/>
          <w:bCs w:val="0"/>
        </w:rPr>
      </w:pPr>
      <w:r w:rsidRPr="00AB6427">
        <w:rPr>
          <w:b w:val="0"/>
          <w:bCs w:val="0"/>
        </w:rPr>
        <w:t>Численность работников основного персонала,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работающих на условиях полного рабочего времени, за рабочий день, предшествовавший выходным или нерабочим праздничным дням.</w:t>
      </w:r>
    </w:p>
    <w:p w:rsidR="00C82C0D" w:rsidRPr="00AB6427" w:rsidRDefault="00C82C0D" w:rsidP="00C82C0D">
      <w:pPr>
        <w:ind w:firstLine="709"/>
        <w:jc w:val="both"/>
        <w:rPr>
          <w:b w:val="0"/>
          <w:bCs w:val="0"/>
        </w:rPr>
      </w:pPr>
      <w:r w:rsidRPr="00AB6427">
        <w:rPr>
          <w:b w:val="0"/>
          <w:bCs w:val="0"/>
        </w:rPr>
        <w:t xml:space="preserve">В численности работников основного персонала, работающих на условиях полного рабочего времени, за каждый календарный день месяца учитываются </w:t>
      </w:r>
      <w:r w:rsidRPr="00AB6427">
        <w:rPr>
          <w:b w:val="0"/>
          <w:bCs w:val="0"/>
        </w:rPr>
        <w:lastRenderedPageBreak/>
        <w:t>работники основного персонала, фактически работающие на основании табеля учета рабочего времени.</w:t>
      </w:r>
    </w:p>
    <w:p w:rsidR="00C82C0D" w:rsidRPr="00AB6427" w:rsidRDefault="00C82C0D" w:rsidP="00C82C0D">
      <w:pPr>
        <w:ind w:firstLine="709"/>
        <w:jc w:val="both"/>
        <w:rPr>
          <w:b w:val="0"/>
          <w:bCs w:val="0"/>
        </w:rPr>
      </w:pPr>
      <w:r w:rsidRPr="00AB6427">
        <w:rPr>
          <w:b w:val="0"/>
          <w:bCs w:val="0"/>
        </w:rPr>
        <w:t>Работник, работающий в учреждении на одной, более одной ставки (оформленный как внутренний совместитель), учитывается в списочной численности работников основного персонала как один человек (целая единица).</w:t>
      </w:r>
    </w:p>
    <w:p w:rsidR="00C82C0D" w:rsidRPr="00AB6427" w:rsidRDefault="00C82C0D" w:rsidP="00C82C0D">
      <w:pPr>
        <w:ind w:firstLine="709"/>
        <w:jc w:val="both"/>
        <w:rPr>
          <w:b w:val="0"/>
          <w:bCs w:val="0"/>
        </w:rPr>
      </w:pPr>
      <w:r w:rsidRPr="00AB6427">
        <w:rPr>
          <w:b w:val="0"/>
          <w:bCs w:val="0"/>
        </w:rPr>
        <w:t>5. Работники основного персонала,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учитываются пропорционально отработанному времени.</w:t>
      </w:r>
    </w:p>
    <w:p w:rsidR="00C82C0D" w:rsidRPr="00AB6427" w:rsidRDefault="00C82C0D" w:rsidP="00C82C0D">
      <w:pPr>
        <w:ind w:firstLine="709"/>
        <w:jc w:val="both"/>
        <w:rPr>
          <w:b w:val="0"/>
          <w:bCs w:val="0"/>
        </w:rPr>
      </w:pPr>
      <w:r w:rsidRPr="00AB6427">
        <w:rPr>
          <w:b w:val="0"/>
          <w:bCs w:val="0"/>
        </w:rPr>
        <w:t>Расчет средней численности этой категории работников производится в следующем порядке:</w:t>
      </w:r>
    </w:p>
    <w:p w:rsidR="00C82C0D" w:rsidRPr="00AB6427" w:rsidRDefault="00C82C0D" w:rsidP="00C82C0D">
      <w:pPr>
        <w:ind w:firstLine="709"/>
        <w:jc w:val="both"/>
        <w:rPr>
          <w:b w:val="0"/>
          <w:bCs w:val="0"/>
        </w:rPr>
      </w:pPr>
      <w:r w:rsidRPr="00AB6427">
        <w:rPr>
          <w:b w:val="0"/>
          <w:bCs w:val="0"/>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C82C0D" w:rsidRPr="00AB6427" w:rsidRDefault="00C82C0D" w:rsidP="00C82C0D">
      <w:pPr>
        <w:ind w:firstLine="709"/>
        <w:jc w:val="both"/>
        <w:rPr>
          <w:b w:val="0"/>
          <w:bCs w:val="0"/>
        </w:rPr>
      </w:pPr>
      <w:r w:rsidRPr="00AB6427">
        <w:rPr>
          <w:b w:val="0"/>
          <w:bCs w:val="0"/>
        </w:rPr>
        <w:t>40 часов - на 8 часов (при пятидневной рабочей неделе) или на 6,67 часа (при шестидневной рабочей неделе);</w:t>
      </w:r>
    </w:p>
    <w:p w:rsidR="00C82C0D" w:rsidRPr="00AB6427" w:rsidRDefault="00C82C0D" w:rsidP="00C82C0D">
      <w:pPr>
        <w:ind w:firstLine="709"/>
        <w:jc w:val="both"/>
        <w:rPr>
          <w:b w:val="0"/>
          <w:bCs w:val="0"/>
        </w:rPr>
      </w:pPr>
      <w:r w:rsidRPr="00AB6427">
        <w:rPr>
          <w:b w:val="0"/>
          <w:bCs w:val="0"/>
        </w:rPr>
        <w:t>39 часов - на 7,8 часа (при пятидневной рабочей неделе) или на 6,5 часа (при шестидневной рабочей неделе);</w:t>
      </w:r>
    </w:p>
    <w:p w:rsidR="00C82C0D" w:rsidRPr="00AB6427" w:rsidRDefault="00C82C0D" w:rsidP="00C82C0D">
      <w:pPr>
        <w:ind w:firstLine="709"/>
        <w:jc w:val="both"/>
        <w:rPr>
          <w:b w:val="0"/>
          <w:bCs w:val="0"/>
        </w:rPr>
      </w:pPr>
      <w:r w:rsidRPr="00AB6427">
        <w:rPr>
          <w:b w:val="0"/>
          <w:bCs w:val="0"/>
        </w:rPr>
        <w:t>36 часов - на 7,2 часа (при пятидневной рабочей неделе) или на 6 часов (при шестидневной рабочей неделе);</w:t>
      </w:r>
    </w:p>
    <w:p w:rsidR="00C82C0D" w:rsidRPr="00AB6427" w:rsidRDefault="00C82C0D" w:rsidP="00C82C0D">
      <w:pPr>
        <w:ind w:firstLine="709"/>
        <w:jc w:val="both"/>
        <w:rPr>
          <w:b w:val="0"/>
          <w:bCs w:val="0"/>
        </w:rPr>
      </w:pPr>
      <w:r w:rsidRPr="00AB6427">
        <w:rPr>
          <w:b w:val="0"/>
          <w:bCs w:val="0"/>
        </w:rPr>
        <w:t>33 часа - на 6,6 часа (при пятидневной рабочей неделе) или на 5,5 часа (при шестидневной рабочей неделе);</w:t>
      </w:r>
    </w:p>
    <w:p w:rsidR="00C82C0D" w:rsidRPr="00AB6427" w:rsidRDefault="00C82C0D" w:rsidP="00C82C0D">
      <w:pPr>
        <w:ind w:firstLine="709"/>
        <w:jc w:val="both"/>
        <w:rPr>
          <w:b w:val="0"/>
          <w:bCs w:val="0"/>
        </w:rPr>
      </w:pPr>
      <w:r w:rsidRPr="00AB6427">
        <w:rPr>
          <w:b w:val="0"/>
          <w:bCs w:val="0"/>
        </w:rPr>
        <w:t>30 часов - на 6 часов (при пятидневной рабочей неделе) или на 5 часов (при шестидневной рабочей неделе);</w:t>
      </w:r>
    </w:p>
    <w:p w:rsidR="00C82C0D" w:rsidRPr="00AB6427" w:rsidRDefault="00C82C0D" w:rsidP="00C82C0D">
      <w:pPr>
        <w:ind w:firstLine="709"/>
        <w:jc w:val="both"/>
        <w:rPr>
          <w:b w:val="0"/>
          <w:bCs w:val="0"/>
        </w:rPr>
      </w:pPr>
      <w:r w:rsidRPr="00AB6427">
        <w:rPr>
          <w:b w:val="0"/>
          <w:bCs w:val="0"/>
        </w:rPr>
        <w:t>24 часа - на 4,8 часа (при пятидневной рабочей неделе) или на 4 часа (при шестидневной рабочей неделе);</w:t>
      </w:r>
    </w:p>
    <w:p w:rsidR="00C82C0D" w:rsidRPr="00AB6427" w:rsidRDefault="00C82C0D" w:rsidP="00C82C0D">
      <w:pPr>
        <w:ind w:firstLine="709"/>
        <w:jc w:val="both"/>
        <w:rPr>
          <w:b w:val="0"/>
          <w:bCs w:val="0"/>
        </w:rPr>
      </w:pPr>
      <w:r w:rsidRPr="00AB6427">
        <w:rPr>
          <w:b w:val="0"/>
          <w:bCs w:val="0"/>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C82C0D" w:rsidRPr="00AB6427" w:rsidRDefault="00C82C0D" w:rsidP="00C82C0D">
      <w:pPr>
        <w:ind w:firstLine="709"/>
        <w:jc w:val="both"/>
        <w:rPr>
          <w:b w:val="0"/>
          <w:bCs w:val="0"/>
        </w:rPr>
      </w:pPr>
      <w:r w:rsidRPr="00AB6427">
        <w:rPr>
          <w:b w:val="0"/>
          <w:bCs w:val="0"/>
        </w:rPr>
        <w:t>6. Среднемесячная численность работников основного персонала, являющихся внешними совместителями, исчисляется в соответствии с порядком определения среднемесячной численности работников основного персонала, работавших на условиях неполного рабочего времени (пункт 5 порядка).</w:t>
      </w:r>
    </w:p>
    <w:p w:rsidR="00C82C0D" w:rsidRPr="00AB6427" w:rsidRDefault="00C82C0D" w:rsidP="00C82C0D">
      <w:pPr>
        <w:widowControl w:val="0"/>
        <w:autoSpaceDE w:val="0"/>
        <w:autoSpaceDN w:val="0"/>
        <w:adjustRightInd w:val="0"/>
        <w:jc w:val="right"/>
        <w:outlineLvl w:val="0"/>
        <w:rPr>
          <w:b w:val="0"/>
        </w:rPr>
      </w:pPr>
    </w:p>
    <w:p w:rsidR="00C82C0D" w:rsidRPr="00AB6427" w:rsidRDefault="00C82C0D" w:rsidP="000056F4">
      <w:pPr>
        <w:jc w:val="both"/>
        <w:rPr>
          <w:b w:val="0"/>
        </w:rPr>
      </w:pPr>
    </w:p>
    <w:p w:rsidR="00C82C0D" w:rsidRPr="00AB6427" w:rsidRDefault="00C82C0D" w:rsidP="000056F4">
      <w:pPr>
        <w:jc w:val="both"/>
        <w:rPr>
          <w:b w:val="0"/>
        </w:rPr>
      </w:pPr>
    </w:p>
    <w:p w:rsidR="00C82C0D" w:rsidRPr="00AB6427" w:rsidRDefault="00C82C0D" w:rsidP="000056F4">
      <w:pPr>
        <w:jc w:val="both"/>
        <w:rPr>
          <w:b w:val="0"/>
        </w:rPr>
      </w:pPr>
    </w:p>
    <w:p w:rsidR="00C82C0D" w:rsidRPr="00AB6427" w:rsidRDefault="00C82C0D" w:rsidP="000056F4">
      <w:pPr>
        <w:jc w:val="both"/>
        <w:rPr>
          <w:b w:val="0"/>
        </w:rPr>
      </w:pPr>
    </w:p>
    <w:p w:rsidR="00C82C0D" w:rsidRPr="00AB6427" w:rsidRDefault="00C82C0D" w:rsidP="000056F4">
      <w:pPr>
        <w:jc w:val="both"/>
        <w:rPr>
          <w:b w:val="0"/>
        </w:rPr>
      </w:pPr>
    </w:p>
    <w:p w:rsidR="00C82C0D" w:rsidRPr="00AB6427" w:rsidRDefault="00C82C0D" w:rsidP="000056F4">
      <w:pPr>
        <w:jc w:val="both"/>
        <w:rPr>
          <w:b w:val="0"/>
        </w:rPr>
      </w:pPr>
    </w:p>
    <w:p w:rsidR="00C82C0D" w:rsidRPr="00AB6427" w:rsidRDefault="00C82C0D" w:rsidP="000056F4">
      <w:pPr>
        <w:jc w:val="both"/>
        <w:rPr>
          <w:b w:val="0"/>
        </w:rPr>
      </w:pPr>
    </w:p>
    <w:p w:rsidR="00C82C0D" w:rsidRPr="00AB6427" w:rsidRDefault="00C82C0D" w:rsidP="000056F4">
      <w:pPr>
        <w:jc w:val="both"/>
        <w:rPr>
          <w:b w:val="0"/>
        </w:rPr>
      </w:pPr>
    </w:p>
    <w:p w:rsidR="00C82C0D" w:rsidRDefault="00C82C0D" w:rsidP="000056F4">
      <w:pPr>
        <w:jc w:val="both"/>
        <w:rPr>
          <w:b w:val="0"/>
        </w:rPr>
      </w:pPr>
    </w:p>
    <w:p w:rsidR="00C82C0D" w:rsidRDefault="00C82C0D" w:rsidP="000056F4">
      <w:pPr>
        <w:jc w:val="both"/>
        <w:rPr>
          <w:b w:val="0"/>
        </w:rPr>
      </w:pPr>
    </w:p>
    <w:p w:rsidR="00C82C0D" w:rsidRDefault="00C82C0D" w:rsidP="000056F4">
      <w:pPr>
        <w:jc w:val="both"/>
        <w:rPr>
          <w:b w:val="0"/>
        </w:rPr>
      </w:pPr>
    </w:p>
    <w:sectPr w:rsidR="00C82C0D" w:rsidSect="000056F4">
      <w:footerReference w:type="default" r:id="rId9"/>
      <w:pgSz w:w="11906" w:h="16838"/>
      <w:pgMar w:top="1134" w:right="851" w:bottom="1134" w:left="1701" w:header="0" w:footer="0" w:gutter="0"/>
      <w:cols w:space="720"/>
      <w:formProt w:val="0"/>
      <w:titlePg/>
      <w:docGrid w:linePitch="360" w:charSpace="-102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F6" w:rsidRDefault="002868F6" w:rsidP="000056F4">
      <w:r>
        <w:separator/>
      </w:r>
    </w:p>
  </w:endnote>
  <w:endnote w:type="continuationSeparator" w:id="1">
    <w:p w:rsidR="002868F6" w:rsidRDefault="002868F6" w:rsidP="00005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ejaVu Sans">
    <w:altName w:val="Times New Roman"/>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0370"/>
      <w:docPartObj>
        <w:docPartGallery w:val="Page Numbers (Bottom of Page)"/>
        <w:docPartUnique/>
      </w:docPartObj>
    </w:sdtPr>
    <w:sdtContent>
      <w:p w:rsidR="00C82C0D" w:rsidRDefault="007D1F1A">
        <w:pPr>
          <w:pStyle w:val="a8"/>
          <w:jc w:val="right"/>
        </w:pPr>
        <w:fldSimple w:instr=" PAGE   \* MERGEFORMAT ">
          <w:r w:rsidR="003A5EEC">
            <w:rPr>
              <w:noProof/>
            </w:rPr>
            <w:t>6</w:t>
          </w:r>
        </w:fldSimple>
      </w:p>
    </w:sdtContent>
  </w:sdt>
  <w:p w:rsidR="000056F4" w:rsidRDefault="000056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F6" w:rsidRDefault="002868F6" w:rsidP="000056F4">
      <w:r>
        <w:separator/>
      </w:r>
    </w:p>
  </w:footnote>
  <w:footnote w:type="continuationSeparator" w:id="1">
    <w:p w:rsidR="002868F6" w:rsidRDefault="002868F6" w:rsidP="00005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B6E66"/>
    <w:multiLevelType w:val="hybridMultilevel"/>
    <w:tmpl w:val="67A25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235"/>
  <w:characterSpacingControl w:val="doNotCompress"/>
  <w:footnotePr>
    <w:footnote w:id="0"/>
    <w:footnote w:id="1"/>
  </w:footnotePr>
  <w:endnotePr>
    <w:endnote w:id="0"/>
    <w:endnote w:id="1"/>
  </w:endnotePr>
  <w:compat/>
  <w:rsids>
    <w:rsidRoot w:val="00740DB3"/>
    <w:rsid w:val="00003A52"/>
    <w:rsid w:val="000056F4"/>
    <w:rsid w:val="00006868"/>
    <w:rsid w:val="00066237"/>
    <w:rsid w:val="000A44A9"/>
    <w:rsid w:val="00143B7F"/>
    <w:rsid w:val="00150B94"/>
    <w:rsid w:val="00156717"/>
    <w:rsid w:val="001A064D"/>
    <w:rsid w:val="002868F6"/>
    <w:rsid w:val="00361A26"/>
    <w:rsid w:val="003A5EEC"/>
    <w:rsid w:val="003F7CBE"/>
    <w:rsid w:val="004001A1"/>
    <w:rsid w:val="00402C92"/>
    <w:rsid w:val="00526A25"/>
    <w:rsid w:val="00557A42"/>
    <w:rsid w:val="00561A17"/>
    <w:rsid w:val="005763D0"/>
    <w:rsid w:val="00596B22"/>
    <w:rsid w:val="005F27BC"/>
    <w:rsid w:val="00633188"/>
    <w:rsid w:val="006A69CE"/>
    <w:rsid w:val="006F334C"/>
    <w:rsid w:val="00732680"/>
    <w:rsid w:val="00740DB3"/>
    <w:rsid w:val="00750076"/>
    <w:rsid w:val="007C2CF1"/>
    <w:rsid w:val="007D1F1A"/>
    <w:rsid w:val="008501BF"/>
    <w:rsid w:val="00874FFC"/>
    <w:rsid w:val="00904EA2"/>
    <w:rsid w:val="009C48BB"/>
    <w:rsid w:val="00A64294"/>
    <w:rsid w:val="00AB6427"/>
    <w:rsid w:val="00AE7E55"/>
    <w:rsid w:val="00AF443C"/>
    <w:rsid w:val="00BA2E8D"/>
    <w:rsid w:val="00BF1C3C"/>
    <w:rsid w:val="00C82C0D"/>
    <w:rsid w:val="00D03D6A"/>
    <w:rsid w:val="00D60423"/>
    <w:rsid w:val="00DA5019"/>
    <w:rsid w:val="00EA5F5C"/>
    <w:rsid w:val="00F1659E"/>
    <w:rsid w:val="00F832C9"/>
    <w:rsid w:val="00F91D53"/>
    <w:rsid w:val="00FB0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B3"/>
    <w:pPr>
      <w:suppressAutoHyphens/>
      <w:spacing w:after="0" w:line="240" w:lineRule="auto"/>
    </w:pPr>
    <w:rPr>
      <w:rFonts w:eastAsia="Times New Roman"/>
      <w:color w:val="00000A"/>
      <w:lang w:eastAsia="ru-RU"/>
    </w:rPr>
  </w:style>
  <w:style w:type="paragraph" w:styleId="1">
    <w:name w:val="heading 1"/>
    <w:basedOn w:val="a"/>
    <w:link w:val="10"/>
    <w:rsid w:val="00740DB3"/>
    <w:pPr>
      <w:keepNext/>
      <w:spacing w:before="240" w:after="120"/>
      <w:outlineLvl w:val="0"/>
    </w:pPr>
    <w:rPr>
      <w:rFonts w:ascii="Liberation Sans" w:eastAsia="Droid Sans Fallback" w:hAnsi="Liberation Sans" w:cs="DejaVu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DB3"/>
    <w:rPr>
      <w:rFonts w:ascii="Liberation Sans" w:eastAsia="Droid Sans Fallback" w:hAnsi="Liberation Sans" w:cs="DejaVu Sans"/>
      <w:color w:val="00000A"/>
      <w:sz w:val="28"/>
      <w:szCs w:val="28"/>
      <w:lang w:eastAsia="ru-RU"/>
    </w:rPr>
  </w:style>
  <w:style w:type="paragraph" w:customStyle="1" w:styleId="a3">
    <w:name w:val="Заглавие"/>
    <w:basedOn w:val="a"/>
    <w:qFormat/>
    <w:rsid w:val="00740DB3"/>
    <w:pPr>
      <w:keepNext/>
      <w:spacing w:before="240" w:after="120"/>
    </w:pPr>
    <w:rPr>
      <w:rFonts w:ascii="Liberation Sans" w:eastAsia="Droid Sans Fallback" w:hAnsi="Liberation Sans" w:cs="DejaVu Sans"/>
      <w:sz w:val="28"/>
      <w:szCs w:val="28"/>
    </w:rPr>
  </w:style>
  <w:style w:type="paragraph" w:styleId="a4">
    <w:name w:val="Balloon Text"/>
    <w:basedOn w:val="a"/>
    <w:link w:val="a5"/>
    <w:uiPriority w:val="99"/>
    <w:semiHidden/>
    <w:unhideWhenUsed/>
    <w:rsid w:val="00740DB3"/>
    <w:rPr>
      <w:rFonts w:ascii="Tahoma" w:hAnsi="Tahoma" w:cs="Tahoma"/>
      <w:sz w:val="16"/>
      <w:szCs w:val="16"/>
    </w:rPr>
  </w:style>
  <w:style w:type="character" w:customStyle="1" w:styleId="a5">
    <w:name w:val="Текст выноски Знак"/>
    <w:basedOn w:val="a0"/>
    <w:link w:val="a4"/>
    <w:uiPriority w:val="99"/>
    <w:semiHidden/>
    <w:rsid w:val="00740DB3"/>
    <w:rPr>
      <w:rFonts w:ascii="Tahoma" w:eastAsia="Times New Roman" w:hAnsi="Tahoma" w:cs="Tahoma"/>
      <w:color w:val="00000A"/>
      <w:sz w:val="16"/>
      <w:szCs w:val="16"/>
      <w:lang w:eastAsia="ru-RU"/>
    </w:rPr>
  </w:style>
  <w:style w:type="paragraph" w:styleId="a6">
    <w:name w:val="header"/>
    <w:basedOn w:val="a"/>
    <w:link w:val="a7"/>
    <w:uiPriority w:val="99"/>
    <w:semiHidden/>
    <w:unhideWhenUsed/>
    <w:rsid w:val="000056F4"/>
    <w:pPr>
      <w:tabs>
        <w:tab w:val="center" w:pos="4677"/>
        <w:tab w:val="right" w:pos="9355"/>
      </w:tabs>
    </w:pPr>
  </w:style>
  <w:style w:type="character" w:customStyle="1" w:styleId="a7">
    <w:name w:val="Верхний колонтитул Знак"/>
    <w:basedOn w:val="a0"/>
    <w:link w:val="a6"/>
    <w:uiPriority w:val="99"/>
    <w:semiHidden/>
    <w:rsid w:val="000056F4"/>
    <w:rPr>
      <w:rFonts w:eastAsia="Times New Roman"/>
      <w:color w:val="00000A"/>
      <w:lang w:eastAsia="ru-RU"/>
    </w:rPr>
  </w:style>
  <w:style w:type="paragraph" w:styleId="a8">
    <w:name w:val="footer"/>
    <w:basedOn w:val="a"/>
    <w:link w:val="a9"/>
    <w:uiPriority w:val="99"/>
    <w:unhideWhenUsed/>
    <w:rsid w:val="000056F4"/>
    <w:pPr>
      <w:tabs>
        <w:tab w:val="center" w:pos="4677"/>
        <w:tab w:val="right" w:pos="9355"/>
      </w:tabs>
    </w:pPr>
  </w:style>
  <w:style w:type="character" w:customStyle="1" w:styleId="a9">
    <w:name w:val="Нижний колонтитул Знак"/>
    <w:basedOn w:val="a0"/>
    <w:link w:val="a8"/>
    <w:uiPriority w:val="99"/>
    <w:rsid w:val="000056F4"/>
    <w:rPr>
      <w:rFonts w:eastAsia="Times New Roman"/>
      <w:color w:val="00000A"/>
      <w:lang w:eastAsia="ru-RU"/>
    </w:rPr>
  </w:style>
  <w:style w:type="paragraph" w:styleId="aa">
    <w:name w:val="List Paragraph"/>
    <w:basedOn w:val="a"/>
    <w:uiPriority w:val="34"/>
    <w:qFormat/>
    <w:rsid w:val="00066237"/>
    <w:pPr>
      <w:ind w:left="720"/>
      <w:contextualSpacing/>
    </w:pPr>
  </w:style>
  <w:style w:type="paragraph" w:styleId="ab">
    <w:name w:val="No Spacing"/>
    <w:uiPriority w:val="1"/>
    <w:qFormat/>
    <w:rsid w:val="00C82C0D"/>
    <w:pPr>
      <w:spacing w:after="0" w:line="240" w:lineRule="auto"/>
    </w:pPr>
    <w:rPr>
      <w:rFonts w:ascii="Calibri" w:eastAsia="Times New Roman" w:hAnsi="Calibri"/>
      <w:b w:val="0"/>
      <w:sz w:val="22"/>
      <w:szCs w:val="22"/>
      <w:lang w:eastAsia="ru-RU"/>
    </w:rPr>
  </w:style>
  <w:style w:type="paragraph" w:customStyle="1" w:styleId="ConsPlusTitle">
    <w:name w:val="ConsPlusTitle"/>
    <w:rsid w:val="00C82C0D"/>
    <w:pPr>
      <w:widowControl w:val="0"/>
      <w:autoSpaceDE w:val="0"/>
      <w:autoSpaceDN w:val="0"/>
      <w:adjustRightInd w:val="0"/>
      <w:spacing w:after="0" w:line="240" w:lineRule="auto"/>
    </w:pPr>
    <w:rPr>
      <w:rFonts w:eastAsia="Times New Roman"/>
      <w:bCs w:val="0"/>
      <w:sz w:val="24"/>
      <w:szCs w:val="24"/>
      <w:lang w:eastAsia="ru-RU"/>
    </w:rPr>
  </w:style>
  <w:style w:type="paragraph" w:customStyle="1" w:styleId="ConsPlusCell">
    <w:name w:val="ConsPlusCell"/>
    <w:rsid w:val="00C82C0D"/>
    <w:pPr>
      <w:widowControl w:val="0"/>
      <w:autoSpaceDE w:val="0"/>
      <w:autoSpaceDN w:val="0"/>
      <w:adjustRightInd w:val="0"/>
      <w:spacing w:after="0" w:line="240" w:lineRule="auto"/>
    </w:pPr>
    <w:rPr>
      <w:rFonts w:eastAsia="Times New Roman"/>
      <w:b w:val="0"/>
      <w:sz w:val="24"/>
      <w:szCs w:val="24"/>
      <w:lang w:eastAsia="ru-RU"/>
    </w:rPr>
  </w:style>
  <w:style w:type="character" w:styleId="ac">
    <w:name w:val="Hyperlink"/>
    <w:basedOn w:val="a0"/>
    <w:uiPriority w:val="99"/>
    <w:semiHidden/>
    <w:unhideWhenUsed/>
    <w:rsid w:val="00C82C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7F74E130756C8E0FB5FC82A17E0D535418091D2e2WBI" TargetMode="External"/><Relationship Id="rId3" Type="http://schemas.openxmlformats.org/officeDocument/2006/relationships/settings" Target="settings.xml"/><Relationship Id="rId7" Type="http://schemas.openxmlformats.org/officeDocument/2006/relationships/hyperlink" Target="consultantplus://offline/ref=647F1CC1E5814BA29113EC809D8A792347C21C3CD844CFBAE01E80D394CCF8398D7379AABF385FA8dFW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HP</cp:lastModifiedBy>
  <cp:revision>2</cp:revision>
  <cp:lastPrinted>2018-01-26T11:35:00Z</cp:lastPrinted>
  <dcterms:created xsi:type="dcterms:W3CDTF">2022-09-08T07:41:00Z</dcterms:created>
  <dcterms:modified xsi:type="dcterms:W3CDTF">2022-09-08T07:41:00Z</dcterms:modified>
</cp:coreProperties>
</file>