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2141"/>
        <w:gridCol w:w="2137"/>
        <w:gridCol w:w="3612"/>
        <w:gridCol w:w="2706"/>
      </w:tblGrid>
      <w:tr w:rsidR="00DB7B54" w:rsidTr="00CB60D8">
        <w:trPr>
          <w:trHeight w:val="270"/>
        </w:trPr>
        <w:tc>
          <w:tcPr>
            <w:tcW w:w="10812" w:type="dxa"/>
            <w:gridSpan w:val="4"/>
            <w:noWrap/>
            <w:tcMar>
              <w:top w:w="0" w:type="dxa"/>
              <w:left w:w="108" w:type="dxa"/>
              <w:bottom w:w="0" w:type="dxa"/>
              <w:right w:w="108" w:type="dxa"/>
            </w:tcMar>
            <w:vAlign w:val="bottom"/>
          </w:tcPr>
          <w:p w:rsidR="00DB7B54" w:rsidRDefault="004B0104" w:rsidP="001B6B34">
            <w:pPr>
              <w:jc w:val="right"/>
              <w:rPr>
                <w:rFonts w:ascii="Times New Roman" w:hAnsi="Times New Roman"/>
                <w:sz w:val="24"/>
              </w:rPr>
            </w:pPr>
            <w:r>
              <w:rPr>
                <w:rFonts w:ascii="Times New Roman" w:hAnsi="Times New Roman"/>
                <w:sz w:val="20"/>
              </w:rPr>
              <w:t xml:space="preserve">Утв. приказом Минфина РФ </w:t>
            </w:r>
            <w:r>
              <w:rPr>
                <w:rFonts w:ascii="Times New Roman" w:hAnsi="Times New Roman"/>
                <w:sz w:val="20"/>
              </w:rPr>
              <w:br/>
              <w:t xml:space="preserve">от 28 декабря 2010 г. № 191н </w:t>
            </w:r>
            <w:r>
              <w:rPr>
                <w:rFonts w:ascii="Times New Roman" w:hAnsi="Times New Roman"/>
                <w:sz w:val="20"/>
              </w:rPr>
              <w:br/>
            </w:r>
            <w:r w:rsidR="001B6B34">
              <w:rPr>
                <w:rFonts w:ascii="Times New Roman" w:hAnsi="Times New Roman"/>
                <w:i/>
                <w:sz w:val="20"/>
              </w:rPr>
              <w:t xml:space="preserve">(в ред. от </w:t>
            </w:r>
            <w:r w:rsidR="001B6B34" w:rsidRPr="001B6B34">
              <w:rPr>
                <w:rFonts w:ascii="Times New Roman" w:hAnsi="Times New Roman"/>
                <w:i/>
                <w:sz w:val="20"/>
              </w:rPr>
              <w:t>14</w:t>
            </w:r>
            <w:r>
              <w:rPr>
                <w:rFonts w:ascii="Times New Roman" w:hAnsi="Times New Roman"/>
                <w:i/>
                <w:sz w:val="20"/>
              </w:rPr>
              <w:t xml:space="preserve"> </w:t>
            </w:r>
            <w:r w:rsidR="001B6B34" w:rsidRPr="001B6B34">
              <w:rPr>
                <w:rFonts w:ascii="Times New Roman" w:hAnsi="Times New Roman"/>
                <w:i/>
                <w:sz w:val="20"/>
              </w:rPr>
              <w:t>июн</w:t>
            </w:r>
            <w:r w:rsidR="001B6B34">
              <w:rPr>
                <w:rFonts w:ascii="Times New Roman" w:hAnsi="Times New Roman"/>
                <w:i/>
                <w:sz w:val="20"/>
              </w:rPr>
              <w:t>я 2022</w:t>
            </w:r>
            <w:r>
              <w:rPr>
                <w:rFonts w:ascii="Times New Roman" w:hAnsi="Times New Roman"/>
                <w:i/>
                <w:sz w:val="20"/>
              </w:rPr>
              <w:t xml:space="preserve"> г.)</w:t>
            </w:r>
          </w:p>
        </w:tc>
      </w:tr>
      <w:tr w:rsidR="00CB60D8" w:rsidTr="00CB60D8">
        <w:trPr>
          <w:trHeight w:val="450"/>
        </w:trPr>
        <w:tc>
          <w:tcPr>
            <w:tcW w:w="0" w:type="auto"/>
            <w:gridSpan w:val="2"/>
            <w:noWrap/>
            <w:tcMar>
              <w:top w:w="0" w:type="dxa"/>
              <w:left w:w="108" w:type="dxa"/>
              <w:bottom w:w="0" w:type="dxa"/>
              <w:right w:w="108" w:type="dxa"/>
            </w:tcMar>
            <w:vAlign w:val="bottom"/>
          </w:tcPr>
          <w:p w:rsidR="00DB7B54" w:rsidRDefault="00CB60D8">
            <w:pPr>
              <w:jc w:val="center"/>
              <w:rPr>
                <w:rFonts w:ascii="Times New Roman" w:hAnsi="Times New Roman"/>
                <w:sz w:val="24"/>
              </w:rPr>
            </w:pPr>
            <w:r>
              <w:rPr>
                <w:rFonts w:ascii="Times New Roman" w:hAnsi="Times New Roman"/>
                <w:b/>
                <w:sz w:val="27"/>
              </w:rPr>
              <w:t xml:space="preserve"> </w:t>
            </w:r>
            <w:r w:rsidR="004B0104">
              <w:rPr>
                <w:rFonts w:ascii="Times New Roman" w:hAnsi="Times New Roman"/>
                <w:b/>
                <w:sz w:val="27"/>
              </w:rPr>
              <w:t>ПОЯСНИТЕЛЬНАЯ ЗАПИСКА</w:t>
            </w:r>
          </w:p>
        </w:tc>
        <w:tc>
          <w:tcPr>
            <w:tcW w:w="3530" w:type="dxa"/>
            <w:tcMar>
              <w:top w:w="0" w:type="dxa"/>
              <w:left w:w="108" w:type="dxa"/>
              <w:bottom w:w="0" w:type="dxa"/>
              <w:right w:w="108" w:type="dxa"/>
            </w:tcMar>
            <w:vAlign w:val="center"/>
          </w:tcPr>
          <w:p w:rsidR="00DB7B54" w:rsidRDefault="00DB7B54">
            <w:pPr>
              <w:rPr>
                <w:sz w:val="24"/>
              </w:rPr>
            </w:pPr>
          </w:p>
        </w:tc>
        <w:tc>
          <w:tcPr>
            <w:tcW w:w="2624" w:type="dxa"/>
            <w:tcMar>
              <w:top w:w="0" w:type="dxa"/>
              <w:left w:w="108" w:type="dxa"/>
              <w:bottom w:w="0" w:type="dxa"/>
              <w:right w:w="108" w:type="dxa"/>
            </w:tcMar>
            <w:vAlign w:val="center"/>
          </w:tcPr>
          <w:p w:rsidR="00DB7B54" w:rsidRDefault="00DB7B54">
            <w:pPr>
              <w:rPr>
                <w:sz w:val="24"/>
              </w:rPr>
            </w:pPr>
          </w:p>
        </w:tc>
      </w:tr>
      <w:tr w:rsidR="00CB60D8" w:rsidTr="00CB60D8">
        <w:trPr>
          <w:trHeight w:val="255"/>
        </w:trPr>
        <w:tc>
          <w:tcPr>
            <w:tcW w:w="0" w:type="auto"/>
            <w:gridSpan w:val="2"/>
            <w:noWrap/>
            <w:tcMar>
              <w:top w:w="0" w:type="dxa"/>
              <w:left w:w="108" w:type="dxa"/>
              <w:bottom w:w="0" w:type="dxa"/>
              <w:right w:w="108" w:type="dxa"/>
            </w:tcMar>
            <w:vAlign w:val="bottom"/>
          </w:tcPr>
          <w:p w:rsidR="00DB7B54" w:rsidRDefault="004B0104">
            <w:pPr>
              <w:jc w:val="center"/>
              <w:rPr>
                <w:rFonts w:ascii="Times New Roman" w:hAnsi="Times New Roman"/>
                <w:sz w:val="24"/>
              </w:rPr>
            </w:pPr>
            <w:r>
              <w:rPr>
                <w:rFonts w:ascii="Times New Roman" w:hAnsi="Times New Roman"/>
                <w:b/>
                <w:sz w:val="24"/>
              </w:rPr>
              <w:t>к отчету об исполнении консолидированного бюджета</w:t>
            </w:r>
          </w:p>
        </w:tc>
        <w:tc>
          <w:tcPr>
            <w:tcW w:w="3530" w:type="dxa"/>
            <w:noWrap/>
            <w:tcMar>
              <w:top w:w="0" w:type="dxa"/>
              <w:left w:w="108" w:type="dxa"/>
              <w:bottom w:w="0" w:type="dxa"/>
              <w:right w:w="108" w:type="dxa"/>
            </w:tcMar>
            <w:vAlign w:val="bottom"/>
          </w:tcPr>
          <w:p w:rsidR="00DB7B54" w:rsidRDefault="004B0104">
            <w:pPr>
              <w:rPr>
                <w:rFonts w:ascii="Times New Roman" w:hAnsi="Times New Roman"/>
                <w:sz w:val="24"/>
              </w:rPr>
            </w:pPr>
            <w:r>
              <w:rPr>
                <w:rFonts w:ascii="Times New Roman" w:hAnsi="Times New Roman"/>
                <w:sz w:val="20"/>
              </w:rPr>
              <w:t> </w:t>
            </w:r>
          </w:p>
        </w:tc>
        <w:tc>
          <w:tcPr>
            <w:tcW w:w="262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DB7B54" w:rsidRPr="00CB60D8" w:rsidRDefault="004B0104">
            <w:pPr>
              <w:jc w:val="center"/>
              <w:rPr>
                <w:rFonts w:ascii="Times New Roman" w:hAnsi="Times New Roman"/>
                <w:sz w:val="20"/>
              </w:rPr>
            </w:pPr>
            <w:r w:rsidRPr="00CB60D8">
              <w:rPr>
                <w:rFonts w:ascii="Times New Roman" w:hAnsi="Times New Roman"/>
                <w:b/>
                <w:sz w:val="20"/>
              </w:rPr>
              <w:t>КОДЫ</w:t>
            </w:r>
          </w:p>
        </w:tc>
      </w:tr>
      <w:tr w:rsidR="00CB60D8" w:rsidTr="00CB60D8">
        <w:trPr>
          <w:trHeight w:val="282"/>
        </w:trPr>
        <w:tc>
          <w:tcPr>
            <w:tcW w:w="0" w:type="auto"/>
            <w:tcMar>
              <w:top w:w="0" w:type="dxa"/>
              <w:left w:w="108" w:type="dxa"/>
              <w:bottom w:w="0" w:type="dxa"/>
              <w:right w:w="108" w:type="dxa"/>
            </w:tcMar>
            <w:vAlign w:val="center"/>
          </w:tcPr>
          <w:p w:rsidR="00DB7B54" w:rsidRDefault="00DB7B54">
            <w:pPr>
              <w:rPr>
                <w:sz w:val="24"/>
              </w:rPr>
            </w:pPr>
          </w:p>
        </w:tc>
        <w:tc>
          <w:tcPr>
            <w:tcW w:w="5859" w:type="dxa"/>
            <w:gridSpan w:val="2"/>
            <w:noWrap/>
            <w:tcMar>
              <w:top w:w="0" w:type="dxa"/>
              <w:left w:w="108" w:type="dxa"/>
              <w:bottom w:w="0" w:type="dxa"/>
              <w:right w:w="108" w:type="dxa"/>
            </w:tcMar>
            <w:vAlign w:val="bottom"/>
          </w:tcPr>
          <w:p w:rsidR="00DB7B54" w:rsidRDefault="004B0104">
            <w:pPr>
              <w:jc w:val="right"/>
              <w:rPr>
                <w:rFonts w:ascii="Times New Roman" w:hAnsi="Times New Roman"/>
                <w:sz w:val="24"/>
              </w:rPr>
            </w:pPr>
            <w:r>
              <w:rPr>
                <w:rFonts w:ascii="Times New Roman" w:hAnsi="Times New Roman"/>
                <w:sz w:val="20"/>
              </w:rPr>
              <w:t>Форма по ОКУД</w:t>
            </w:r>
          </w:p>
        </w:tc>
        <w:tc>
          <w:tcPr>
            <w:tcW w:w="2624"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DB7B54" w:rsidRPr="00CB60D8" w:rsidRDefault="004B0104">
            <w:pPr>
              <w:jc w:val="center"/>
              <w:rPr>
                <w:rFonts w:ascii="Times New Roman" w:hAnsi="Times New Roman"/>
                <w:sz w:val="20"/>
              </w:rPr>
            </w:pPr>
            <w:r w:rsidRPr="00CB60D8">
              <w:rPr>
                <w:rFonts w:ascii="Times New Roman" w:hAnsi="Times New Roman"/>
                <w:b/>
                <w:sz w:val="20"/>
              </w:rPr>
              <w:t>0503360</w:t>
            </w:r>
          </w:p>
        </w:tc>
      </w:tr>
      <w:tr w:rsidR="00CB60D8" w:rsidTr="00CB60D8">
        <w:trPr>
          <w:trHeight w:val="282"/>
        </w:trPr>
        <w:tc>
          <w:tcPr>
            <w:tcW w:w="0" w:type="auto"/>
            <w:gridSpan w:val="2"/>
            <w:noWrap/>
            <w:tcMar>
              <w:top w:w="0" w:type="dxa"/>
              <w:left w:w="108" w:type="dxa"/>
              <w:bottom w:w="0" w:type="dxa"/>
              <w:right w:w="108" w:type="dxa"/>
            </w:tcMar>
            <w:vAlign w:val="bottom"/>
          </w:tcPr>
          <w:p w:rsidR="00DB7B54" w:rsidRPr="00071C41" w:rsidRDefault="004B0104">
            <w:pPr>
              <w:jc w:val="center"/>
              <w:rPr>
                <w:rFonts w:ascii="Times New Roman" w:hAnsi="Times New Roman"/>
                <w:b/>
                <w:sz w:val="24"/>
              </w:rPr>
            </w:pPr>
            <w:r w:rsidRPr="00071C41">
              <w:rPr>
                <w:rFonts w:ascii="Times New Roman" w:hAnsi="Times New Roman"/>
                <w:b/>
                <w:sz w:val="20"/>
              </w:rPr>
              <w:t>                          на   1 января 2023 г.</w:t>
            </w:r>
          </w:p>
        </w:tc>
        <w:tc>
          <w:tcPr>
            <w:tcW w:w="3530" w:type="dxa"/>
            <w:noWrap/>
            <w:tcMar>
              <w:top w:w="0" w:type="dxa"/>
              <w:left w:w="108" w:type="dxa"/>
              <w:bottom w:w="0" w:type="dxa"/>
              <w:right w:w="108" w:type="dxa"/>
            </w:tcMar>
            <w:vAlign w:val="bottom"/>
          </w:tcPr>
          <w:p w:rsidR="00DB7B54" w:rsidRDefault="004B0104">
            <w:pPr>
              <w:jc w:val="right"/>
              <w:rPr>
                <w:rFonts w:ascii="Times New Roman" w:hAnsi="Times New Roman"/>
                <w:sz w:val="24"/>
              </w:rPr>
            </w:pPr>
            <w:r>
              <w:rPr>
                <w:rFonts w:ascii="Times New Roman" w:hAnsi="Times New Roman"/>
                <w:sz w:val="20"/>
              </w:rPr>
              <w:t> Дата</w:t>
            </w:r>
          </w:p>
        </w:tc>
        <w:tc>
          <w:tcPr>
            <w:tcW w:w="2624"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DB7B54" w:rsidRPr="00CB60D8" w:rsidRDefault="004B0104">
            <w:pPr>
              <w:jc w:val="center"/>
              <w:rPr>
                <w:rFonts w:ascii="Times New Roman" w:hAnsi="Times New Roman"/>
                <w:sz w:val="20"/>
              </w:rPr>
            </w:pPr>
            <w:r w:rsidRPr="00CB60D8">
              <w:rPr>
                <w:rFonts w:ascii="Times New Roman" w:hAnsi="Times New Roman"/>
                <w:sz w:val="20"/>
              </w:rPr>
              <w:t>01.01.2023</w:t>
            </w:r>
          </w:p>
        </w:tc>
      </w:tr>
      <w:tr w:rsidR="00DB7B54" w:rsidTr="00CB60D8">
        <w:trPr>
          <w:trHeight w:val="300"/>
        </w:trPr>
        <w:tc>
          <w:tcPr>
            <w:tcW w:w="8188" w:type="dxa"/>
            <w:gridSpan w:val="3"/>
            <w:noWrap/>
            <w:tcMar>
              <w:top w:w="0" w:type="dxa"/>
              <w:left w:w="108" w:type="dxa"/>
              <w:bottom w:w="0" w:type="dxa"/>
              <w:right w:w="108" w:type="dxa"/>
            </w:tcMar>
            <w:vAlign w:val="bottom"/>
          </w:tcPr>
          <w:p w:rsidR="00DB7B54" w:rsidRDefault="004B0104">
            <w:pPr>
              <w:rPr>
                <w:rFonts w:ascii="Times New Roman" w:hAnsi="Times New Roman"/>
                <w:sz w:val="24"/>
              </w:rPr>
            </w:pPr>
            <w:r>
              <w:rPr>
                <w:rFonts w:ascii="Times New Roman" w:hAnsi="Times New Roman"/>
                <w:sz w:val="20"/>
              </w:rPr>
              <w:t> </w:t>
            </w:r>
          </w:p>
        </w:tc>
        <w:tc>
          <w:tcPr>
            <w:tcW w:w="2624" w:type="dxa"/>
            <w:tcBorders>
              <w:top w:val="nil"/>
              <w:left w:val="single" w:sz="8" w:space="0" w:color="000000"/>
              <w:bottom w:val="nil"/>
              <w:right w:val="single" w:sz="8" w:space="0" w:color="000000"/>
            </w:tcBorders>
            <w:noWrap/>
            <w:tcMar>
              <w:top w:w="0" w:type="dxa"/>
              <w:left w:w="108" w:type="dxa"/>
              <w:bottom w:w="0" w:type="dxa"/>
              <w:right w:w="108" w:type="dxa"/>
            </w:tcMar>
            <w:vAlign w:val="bottom"/>
          </w:tcPr>
          <w:p w:rsidR="00DB7B54" w:rsidRPr="00CB60D8" w:rsidRDefault="004B0104">
            <w:pPr>
              <w:rPr>
                <w:rFonts w:ascii="Times New Roman" w:hAnsi="Times New Roman"/>
                <w:sz w:val="20"/>
              </w:rPr>
            </w:pPr>
            <w:r w:rsidRPr="00CB60D8">
              <w:rPr>
                <w:rFonts w:ascii="Times New Roman" w:hAnsi="Times New Roman"/>
                <w:sz w:val="20"/>
              </w:rPr>
              <w:t> </w:t>
            </w:r>
          </w:p>
        </w:tc>
      </w:tr>
      <w:tr w:rsidR="00DB7B54" w:rsidTr="00CB60D8">
        <w:trPr>
          <w:trHeight w:val="195"/>
        </w:trPr>
        <w:tc>
          <w:tcPr>
            <w:tcW w:w="8188" w:type="dxa"/>
            <w:gridSpan w:val="3"/>
            <w:noWrap/>
            <w:tcMar>
              <w:top w:w="0" w:type="dxa"/>
              <w:left w:w="108" w:type="dxa"/>
              <w:bottom w:w="0" w:type="dxa"/>
              <w:right w:w="108" w:type="dxa"/>
            </w:tcMar>
            <w:vAlign w:val="bottom"/>
          </w:tcPr>
          <w:p w:rsidR="00DB7B54" w:rsidRDefault="004B0104">
            <w:pPr>
              <w:jc w:val="right"/>
              <w:rPr>
                <w:rFonts w:ascii="Times New Roman" w:hAnsi="Times New Roman"/>
                <w:sz w:val="24"/>
              </w:rPr>
            </w:pPr>
            <w:r>
              <w:rPr>
                <w:rFonts w:ascii="Times New Roman" w:hAnsi="Times New Roman"/>
                <w:sz w:val="20"/>
              </w:rPr>
              <w:t>по ОКПО</w:t>
            </w:r>
          </w:p>
        </w:tc>
        <w:tc>
          <w:tcPr>
            <w:tcW w:w="2624" w:type="dxa"/>
            <w:tcBorders>
              <w:top w:val="nil"/>
              <w:left w:val="single" w:sz="8" w:space="0" w:color="000000"/>
              <w:bottom w:val="nil"/>
              <w:right w:val="single" w:sz="8" w:space="0" w:color="000000"/>
            </w:tcBorders>
            <w:noWrap/>
            <w:tcMar>
              <w:top w:w="0" w:type="dxa"/>
              <w:left w:w="108" w:type="dxa"/>
              <w:bottom w:w="0" w:type="dxa"/>
              <w:right w:w="108" w:type="dxa"/>
            </w:tcMar>
            <w:vAlign w:val="bottom"/>
          </w:tcPr>
          <w:p w:rsidR="00DB7B54" w:rsidRPr="00CB60D8" w:rsidRDefault="00CB60D8" w:rsidP="00CB60D8">
            <w:pPr>
              <w:jc w:val="center"/>
              <w:rPr>
                <w:rFonts w:ascii="Times New Roman" w:hAnsi="Times New Roman"/>
                <w:sz w:val="20"/>
                <w:lang w:val="en-US"/>
              </w:rPr>
            </w:pPr>
            <w:r w:rsidRPr="00CB60D8">
              <w:rPr>
                <w:rFonts w:ascii="Times New Roman" w:hAnsi="Times New Roman"/>
                <w:sz w:val="20"/>
                <w:lang w:val="en-US"/>
              </w:rPr>
              <w:t>96139613</w:t>
            </w:r>
          </w:p>
        </w:tc>
      </w:tr>
      <w:tr w:rsidR="00CB60D8" w:rsidTr="00CB60D8">
        <w:trPr>
          <w:trHeight w:val="150"/>
        </w:trPr>
        <w:tc>
          <w:tcPr>
            <w:tcW w:w="0" w:type="auto"/>
            <w:gridSpan w:val="2"/>
            <w:tcMar>
              <w:top w:w="0" w:type="dxa"/>
              <w:left w:w="108" w:type="dxa"/>
              <w:bottom w:w="0" w:type="dxa"/>
              <w:right w:w="108" w:type="dxa"/>
            </w:tcMar>
            <w:vAlign w:val="bottom"/>
          </w:tcPr>
          <w:p w:rsidR="00DB7B54" w:rsidRDefault="00CB60D8" w:rsidP="00CB60D8">
            <w:pPr>
              <w:rPr>
                <w:rFonts w:ascii="Times New Roman" w:hAnsi="Times New Roman"/>
                <w:sz w:val="24"/>
              </w:rPr>
            </w:pPr>
            <w:r>
              <w:rPr>
                <w:rFonts w:ascii="Times New Roman" w:hAnsi="Times New Roman"/>
                <w:sz w:val="20"/>
              </w:rPr>
              <w:t>Наименование финансового органа: ФО МР «М</w:t>
            </w:r>
            <w:r w:rsidR="004B0104">
              <w:rPr>
                <w:rFonts w:ascii="Times New Roman" w:hAnsi="Times New Roman"/>
                <w:sz w:val="20"/>
              </w:rPr>
              <w:t>ещовский</w:t>
            </w:r>
            <w:r>
              <w:rPr>
                <w:rFonts w:ascii="Times New Roman" w:hAnsi="Times New Roman"/>
                <w:sz w:val="20"/>
              </w:rPr>
              <w:t xml:space="preserve"> район»</w:t>
            </w:r>
          </w:p>
        </w:tc>
        <w:tc>
          <w:tcPr>
            <w:tcW w:w="3530" w:type="dxa"/>
            <w:noWrap/>
            <w:tcMar>
              <w:top w:w="0" w:type="dxa"/>
              <w:left w:w="108" w:type="dxa"/>
              <w:bottom w:w="0" w:type="dxa"/>
              <w:right w:w="108" w:type="dxa"/>
            </w:tcMar>
            <w:vAlign w:val="bottom"/>
          </w:tcPr>
          <w:p w:rsidR="00DB7B54" w:rsidRDefault="004B0104">
            <w:pPr>
              <w:jc w:val="right"/>
              <w:rPr>
                <w:rFonts w:ascii="Times New Roman" w:hAnsi="Times New Roman"/>
                <w:sz w:val="24"/>
              </w:rPr>
            </w:pPr>
            <w:r>
              <w:rPr>
                <w:rFonts w:ascii="Times New Roman" w:hAnsi="Times New Roman"/>
                <w:sz w:val="20"/>
              </w:rPr>
              <w:t>Глава по БК</w:t>
            </w:r>
          </w:p>
        </w:tc>
        <w:tc>
          <w:tcPr>
            <w:tcW w:w="262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DB7B54" w:rsidRPr="00CB60D8" w:rsidRDefault="00CB60D8" w:rsidP="00CB60D8">
            <w:pPr>
              <w:jc w:val="center"/>
              <w:rPr>
                <w:rFonts w:ascii="Times New Roman" w:hAnsi="Times New Roman"/>
                <w:sz w:val="20"/>
                <w:lang w:val="en-US"/>
              </w:rPr>
            </w:pPr>
            <w:r w:rsidRPr="00CB60D8">
              <w:rPr>
                <w:rFonts w:ascii="Times New Roman" w:hAnsi="Times New Roman"/>
                <w:sz w:val="20"/>
                <w:lang w:val="en-US"/>
              </w:rPr>
              <w:t>002</w:t>
            </w:r>
          </w:p>
        </w:tc>
      </w:tr>
      <w:tr w:rsidR="00CB60D8" w:rsidTr="00CB60D8">
        <w:trPr>
          <w:trHeight w:val="220"/>
        </w:trPr>
        <w:tc>
          <w:tcPr>
            <w:tcW w:w="0" w:type="auto"/>
            <w:gridSpan w:val="2"/>
            <w:noWrap/>
            <w:tcMar>
              <w:top w:w="0" w:type="dxa"/>
              <w:left w:w="108" w:type="dxa"/>
              <w:bottom w:w="0" w:type="dxa"/>
              <w:right w:w="108" w:type="dxa"/>
            </w:tcMar>
            <w:vAlign w:val="bottom"/>
          </w:tcPr>
          <w:p w:rsidR="00DB7B54" w:rsidRDefault="004B0104">
            <w:pPr>
              <w:rPr>
                <w:rFonts w:ascii="Times New Roman" w:hAnsi="Times New Roman"/>
                <w:sz w:val="24"/>
              </w:rPr>
            </w:pPr>
            <w:r>
              <w:rPr>
                <w:rFonts w:ascii="Courier New" w:hAnsi="Courier New"/>
                <w:b/>
                <w:sz w:val="16"/>
              </w:rPr>
              <w:t>  </w:t>
            </w:r>
          </w:p>
          <w:p w:rsidR="00DB7B54" w:rsidRDefault="004B0104" w:rsidP="00CB60D8">
            <w:pPr>
              <w:spacing w:line="220" w:lineRule="atLeast"/>
              <w:rPr>
                <w:rFonts w:ascii="Times New Roman" w:hAnsi="Times New Roman"/>
                <w:sz w:val="24"/>
              </w:rPr>
            </w:pPr>
            <w:r>
              <w:rPr>
                <w:rFonts w:ascii="Times New Roman" w:hAnsi="Times New Roman"/>
                <w:sz w:val="20"/>
              </w:rPr>
              <w:t>Наименование бюджета</w:t>
            </w:r>
            <w:r w:rsidR="00CB60D8">
              <w:rPr>
                <w:rFonts w:ascii="Times New Roman" w:hAnsi="Times New Roman"/>
                <w:sz w:val="20"/>
              </w:rPr>
              <w:t>:</w:t>
            </w:r>
            <w:r>
              <w:rPr>
                <w:rFonts w:ascii="Times New Roman" w:hAnsi="Times New Roman"/>
                <w:sz w:val="20"/>
              </w:rPr>
              <w:t xml:space="preserve"> </w:t>
            </w:r>
            <w:r w:rsidR="00CB60D8">
              <w:rPr>
                <w:rFonts w:ascii="Times New Roman" w:hAnsi="Times New Roman"/>
                <w:sz w:val="20"/>
              </w:rPr>
              <w:t>Консолидированный б</w:t>
            </w:r>
            <w:r>
              <w:rPr>
                <w:rFonts w:ascii="Times New Roman" w:hAnsi="Times New Roman"/>
                <w:sz w:val="20"/>
              </w:rPr>
              <w:t xml:space="preserve">юджет </w:t>
            </w:r>
            <w:r w:rsidR="00CB60D8">
              <w:rPr>
                <w:rFonts w:ascii="Times New Roman" w:hAnsi="Times New Roman"/>
                <w:sz w:val="20"/>
              </w:rPr>
              <w:t>Мещовского района</w:t>
            </w:r>
          </w:p>
        </w:tc>
        <w:tc>
          <w:tcPr>
            <w:tcW w:w="3530" w:type="dxa"/>
            <w:noWrap/>
            <w:tcMar>
              <w:top w:w="0" w:type="dxa"/>
              <w:left w:w="108" w:type="dxa"/>
              <w:bottom w:w="0" w:type="dxa"/>
              <w:right w:w="108" w:type="dxa"/>
            </w:tcMar>
            <w:vAlign w:val="bottom"/>
          </w:tcPr>
          <w:p w:rsidR="00DB7B54" w:rsidRDefault="004B0104">
            <w:pPr>
              <w:spacing w:line="220" w:lineRule="atLeast"/>
              <w:jc w:val="right"/>
              <w:rPr>
                <w:rFonts w:ascii="Times New Roman" w:hAnsi="Times New Roman"/>
                <w:sz w:val="24"/>
              </w:rPr>
            </w:pPr>
            <w:r>
              <w:rPr>
                <w:rFonts w:ascii="Times New Roman" w:hAnsi="Times New Roman"/>
                <w:sz w:val="20"/>
              </w:rPr>
              <w:t>по ОКТМО</w:t>
            </w:r>
          </w:p>
        </w:tc>
        <w:tc>
          <w:tcPr>
            <w:tcW w:w="2624" w:type="dxa"/>
            <w:tcBorders>
              <w:top w:val="nil"/>
              <w:left w:val="single" w:sz="8" w:space="0" w:color="000000"/>
              <w:bottom w:val="nil"/>
              <w:right w:val="single" w:sz="8" w:space="0" w:color="000000"/>
            </w:tcBorders>
            <w:noWrap/>
            <w:tcMar>
              <w:top w:w="0" w:type="dxa"/>
              <w:left w:w="108" w:type="dxa"/>
              <w:bottom w:w="0" w:type="dxa"/>
              <w:right w:w="108" w:type="dxa"/>
            </w:tcMar>
            <w:vAlign w:val="bottom"/>
          </w:tcPr>
          <w:p w:rsidR="00DB7B54" w:rsidRPr="00CB60D8" w:rsidRDefault="004B0104">
            <w:pPr>
              <w:spacing w:line="220" w:lineRule="atLeast"/>
              <w:jc w:val="center"/>
              <w:rPr>
                <w:rFonts w:ascii="Times New Roman" w:hAnsi="Times New Roman"/>
                <w:sz w:val="20"/>
              </w:rPr>
            </w:pPr>
            <w:r w:rsidRPr="00CB60D8">
              <w:rPr>
                <w:rFonts w:ascii="Times New Roman" w:hAnsi="Times New Roman"/>
                <w:sz w:val="20"/>
              </w:rPr>
              <w:t>29627000</w:t>
            </w:r>
          </w:p>
        </w:tc>
      </w:tr>
      <w:tr w:rsidR="00DB7B54" w:rsidTr="00CB60D8">
        <w:trPr>
          <w:trHeight w:val="315"/>
        </w:trPr>
        <w:tc>
          <w:tcPr>
            <w:tcW w:w="8188" w:type="dxa"/>
            <w:gridSpan w:val="3"/>
            <w:noWrap/>
            <w:tcMar>
              <w:top w:w="0" w:type="dxa"/>
              <w:left w:w="108" w:type="dxa"/>
              <w:bottom w:w="0" w:type="dxa"/>
              <w:right w:w="108" w:type="dxa"/>
            </w:tcMar>
            <w:vAlign w:val="bottom"/>
          </w:tcPr>
          <w:p w:rsidR="00DB7B54" w:rsidRDefault="004B0104" w:rsidP="00CB60D8">
            <w:pPr>
              <w:rPr>
                <w:rFonts w:ascii="Times New Roman" w:hAnsi="Times New Roman"/>
                <w:sz w:val="24"/>
              </w:rPr>
            </w:pPr>
            <w:r>
              <w:rPr>
                <w:rFonts w:ascii="Times New Roman" w:hAnsi="Times New Roman"/>
                <w:sz w:val="20"/>
              </w:rPr>
              <w:t>Периодичность:    </w:t>
            </w:r>
            <w:r w:rsidR="00CB60D8">
              <w:rPr>
                <w:rFonts w:ascii="Times New Roman" w:hAnsi="Times New Roman"/>
                <w:sz w:val="20"/>
              </w:rPr>
              <w:t>годов</w:t>
            </w:r>
            <w:r>
              <w:rPr>
                <w:rFonts w:ascii="Times New Roman" w:hAnsi="Times New Roman"/>
                <w:sz w:val="20"/>
              </w:rPr>
              <w:t>ая</w:t>
            </w:r>
          </w:p>
        </w:tc>
        <w:tc>
          <w:tcPr>
            <w:tcW w:w="2624"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tcPr>
          <w:p w:rsidR="00DB7B54" w:rsidRPr="00CB60D8" w:rsidRDefault="004B0104">
            <w:pPr>
              <w:rPr>
                <w:rFonts w:ascii="Times New Roman" w:hAnsi="Times New Roman"/>
                <w:sz w:val="20"/>
              </w:rPr>
            </w:pPr>
            <w:r w:rsidRPr="00CB60D8">
              <w:rPr>
                <w:rFonts w:ascii="Times New Roman" w:hAnsi="Times New Roman"/>
                <w:sz w:val="20"/>
              </w:rPr>
              <w:t> </w:t>
            </w:r>
          </w:p>
        </w:tc>
      </w:tr>
      <w:tr w:rsidR="00CB60D8" w:rsidTr="00CB60D8">
        <w:trPr>
          <w:trHeight w:val="282"/>
        </w:trPr>
        <w:tc>
          <w:tcPr>
            <w:tcW w:w="0" w:type="auto"/>
            <w:gridSpan w:val="2"/>
            <w:noWrap/>
            <w:tcMar>
              <w:top w:w="0" w:type="dxa"/>
              <w:left w:w="108" w:type="dxa"/>
              <w:bottom w:w="0" w:type="dxa"/>
              <w:right w:w="108" w:type="dxa"/>
            </w:tcMar>
            <w:vAlign w:val="bottom"/>
          </w:tcPr>
          <w:p w:rsidR="00DB7B54" w:rsidRDefault="004B0104">
            <w:pPr>
              <w:rPr>
                <w:rFonts w:ascii="Times New Roman" w:hAnsi="Times New Roman"/>
                <w:sz w:val="24"/>
              </w:rPr>
            </w:pPr>
            <w:r>
              <w:rPr>
                <w:rFonts w:ascii="Times New Roman" w:hAnsi="Times New Roman"/>
                <w:sz w:val="20"/>
              </w:rPr>
              <w:t>Единица измерения: руб.</w:t>
            </w:r>
          </w:p>
        </w:tc>
        <w:tc>
          <w:tcPr>
            <w:tcW w:w="3530" w:type="dxa"/>
            <w:noWrap/>
            <w:tcMar>
              <w:top w:w="0" w:type="dxa"/>
              <w:left w:w="108" w:type="dxa"/>
              <w:bottom w:w="0" w:type="dxa"/>
              <w:right w:w="108" w:type="dxa"/>
            </w:tcMar>
            <w:vAlign w:val="bottom"/>
          </w:tcPr>
          <w:p w:rsidR="00DB7B54" w:rsidRDefault="004B0104">
            <w:pPr>
              <w:spacing w:before="240" w:beforeAutospacing="1" w:after="240" w:afterAutospacing="1"/>
              <w:jc w:val="right"/>
              <w:rPr>
                <w:rFonts w:ascii="Times New Roman" w:hAnsi="Times New Roman"/>
                <w:sz w:val="24"/>
              </w:rPr>
            </w:pPr>
            <w:r>
              <w:rPr>
                <w:rFonts w:ascii="Times New Roman" w:hAnsi="Times New Roman"/>
                <w:b/>
                <w:sz w:val="16"/>
              </w:rPr>
              <w:t xml:space="preserve">  </w:t>
            </w:r>
            <w:r>
              <w:rPr>
                <w:rFonts w:ascii="Times New Roman" w:hAnsi="Times New Roman"/>
                <w:sz w:val="20"/>
              </w:rPr>
              <w:t>  по ОКЕИ</w:t>
            </w:r>
          </w:p>
        </w:tc>
        <w:tc>
          <w:tcPr>
            <w:tcW w:w="262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DB7B54" w:rsidRPr="00CB60D8" w:rsidRDefault="004B0104">
            <w:pPr>
              <w:jc w:val="center"/>
              <w:rPr>
                <w:rFonts w:ascii="Times New Roman" w:hAnsi="Times New Roman"/>
                <w:sz w:val="20"/>
              </w:rPr>
            </w:pPr>
            <w:r w:rsidRPr="00CB60D8">
              <w:rPr>
                <w:rFonts w:ascii="Times New Roman" w:hAnsi="Times New Roman"/>
                <w:b/>
                <w:sz w:val="20"/>
              </w:rPr>
              <w:t>383</w:t>
            </w:r>
          </w:p>
        </w:tc>
      </w:tr>
      <w:tr w:rsidR="00CB60D8" w:rsidTr="00CB60D8">
        <w:trPr>
          <w:trHeight w:val="282"/>
        </w:trPr>
        <w:tc>
          <w:tcPr>
            <w:tcW w:w="0" w:type="auto"/>
            <w:noWrap/>
            <w:tcMar>
              <w:top w:w="0" w:type="dxa"/>
              <w:left w:w="108" w:type="dxa"/>
              <w:bottom w:w="0" w:type="dxa"/>
              <w:right w:w="108" w:type="dxa"/>
            </w:tcMar>
            <w:vAlign w:val="bottom"/>
          </w:tcPr>
          <w:p w:rsidR="00DB7B54" w:rsidRDefault="004B0104">
            <w:pPr>
              <w:rPr>
                <w:rFonts w:ascii="Times New Roman" w:hAnsi="Times New Roman"/>
                <w:sz w:val="24"/>
              </w:rPr>
            </w:pPr>
            <w:r>
              <w:rPr>
                <w:rFonts w:ascii="Times New Roman" w:hAnsi="Times New Roman"/>
                <w:sz w:val="20"/>
              </w:rPr>
              <w:t> </w:t>
            </w:r>
          </w:p>
        </w:tc>
        <w:tc>
          <w:tcPr>
            <w:tcW w:w="0" w:type="auto"/>
            <w:noWrap/>
            <w:tcMar>
              <w:top w:w="0" w:type="dxa"/>
              <w:left w:w="108" w:type="dxa"/>
              <w:bottom w:w="0" w:type="dxa"/>
              <w:right w:w="108" w:type="dxa"/>
            </w:tcMar>
            <w:vAlign w:val="bottom"/>
          </w:tcPr>
          <w:p w:rsidR="00DB7B54" w:rsidRDefault="004B0104">
            <w:pPr>
              <w:rPr>
                <w:rFonts w:ascii="Times New Roman" w:hAnsi="Times New Roman"/>
                <w:sz w:val="24"/>
              </w:rPr>
            </w:pPr>
            <w:r>
              <w:rPr>
                <w:rFonts w:ascii="Times New Roman" w:hAnsi="Times New Roman"/>
                <w:sz w:val="20"/>
              </w:rPr>
              <w:t> </w:t>
            </w:r>
          </w:p>
        </w:tc>
        <w:tc>
          <w:tcPr>
            <w:tcW w:w="3530" w:type="dxa"/>
            <w:noWrap/>
            <w:tcMar>
              <w:top w:w="0" w:type="dxa"/>
              <w:left w:w="108" w:type="dxa"/>
              <w:bottom w:w="0" w:type="dxa"/>
              <w:right w:w="108" w:type="dxa"/>
            </w:tcMar>
            <w:vAlign w:val="bottom"/>
          </w:tcPr>
          <w:p w:rsidR="00DB7B54" w:rsidRDefault="004B0104">
            <w:pPr>
              <w:rPr>
                <w:rFonts w:ascii="Times New Roman" w:hAnsi="Times New Roman"/>
                <w:sz w:val="24"/>
              </w:rPr>
            </w:pPr>
            <w:r>
              <w:rPr>
                <w:rFonts w:ascii="Times New Roman" w:hAnsi="Times New Roman"/>
                <w:sz w:val="20"/>
              </w:rPr>
              <w:t> </w:t>
            </w:r>
          </w:p>
        </w:tc>
        <w:tc>
          <w:tcPr>
            <w:tcW w:w="2624" w:type="dxa"/>
            <w:tcMar>
              <w:top w:w="0" w:type="dxa"/>
              <w:left w:w="108" w:type="dxa"/>
              <w:bottom w:w="0" w:type="dxa"/>
              <w:right w:w="108" w:type="dxa"/>
            </w:tcMar>
            <w:vAlign w:val="center"/>
          </w:tcPr>
          <w:p w:rsidR="00DB7B54" w:rsidRDefault="00DB7B54">
            <w:pPr>
              <w:rPr>
                <w:sz w:val="24"/>
              </w:rPr>
            </w:pPr>
          </w:p>
        </w:tc>
      </w:tr>
      <w:tr w:rsidR="00DB7B54" w:rsidTr="00CB60D8">
        <w:trPr>
          <w:trHeight w:val="282"/>
        </w:trPr>
        <w:tc>
          <w:tcPr>
            <w:tcW w:w="10812" w:type="dxa"/>
            <w:gridSpan w:val="4"/>
            <w:noWrap/>
            <w:tcMar>
              <w:top w:w="0" w:type="dxa"/>
              <w:left w:w="108" w:type="dxa"/>
              <w:bottom w:w="0" w:type="dxa"/>
              <w:right w:w="108" w:type="dxa"/>
            </w:tcMar>
            <w:vAlign w:val="bottom"/>
          </w:tcPr>
          <w:p w:rsidR="00DB7B54" w:rsidRDefault="004B0104">
            <w:pPr>
              <w:rPr>
                <w:rFonts w:ascii="Times New Roman" w:hAnsi="Times New Roman"/>
                <w:sz w:val="24"/>
              </w:rPr>
            </w:pPr>
            <w:r>
              <w:rPr>
                <w:rFonts w:ascii="Times New Roman" w:hAnsi="Times New Roman"/>
                <w:sz w:val="20"/>
              </w:rPr>
              <w:t> </w:t>
            </w:r>
          </w:p>
        </w:tc>
      </w:tr>
    </w:tbl>
    <w:p w:rsidR="00DB7B54" w:rsidRDefault="004B0104">
      <w:pPr>
        <w:spacing w:before="240" w:after="240"/>
        <w:rPr>
          <w:rFonts w:ascii="Courier New" w:hAnsi="Courier New"/>
        </w:rPr>
      </w:pPr>
      <w:r>
        <w:rPr>
          <w:rFonts w:ascii="Times New Roman" w:hAnsi="Times New Roman"/>
          <w:b/>
          <w:color w:val="000000"/>
          <w:sz w:val="24"/>
        </w:rPr>
        <w:t>Раздел 1 «Организационная структура субъекта бюджетной отчетности»</w:t>
      </w:r>
    </w:p>
    <w:p w:rsidR="00DB7B54" w:rsidRDefault="004B0104">
      <w:pPr>
        <w:spacing w:before="240" w:after="240"/>
        <w:rPr>
          <w:rFonts w:ascii="Courier New" w:hAnsi="Courier New"/>
        </w:rPr>
      </w:pPr>
      <w:r>
        <w:rPr>
          <w:rFonts w:ascii="Times New Roman" w:hAnsi="Times New Roman"/>
          <w:color w:val="000000"/>
          <w:sz w:val="24"/>
        </w:rPr>
        <w:t>      В состав консолидированной отчетности за 2022 год вошли данные об исполнении бюджета муниципального района "Мещовский район", бюджета городского поселения "Город Мещовск" и бюджетов четырех сельских поселений: СП "Село Серпейск", СП "Село Гаврики", СП "Поселок Молодежный", СП "Железнодорожная станция Кудринская".  Количество подведомственных участников бюджетного процесса, муниципальных унитарных предприятий и публично-правовых образований за отчетный период не изменилось.</w:t>
      </w:r>
      <w:r w:rsidR="00CB60D8">
        <w:rPr>
          <w:rFonts w:ascii="Times New Roman" w:hAnsi="Times New Roman"/>
          <w:color w:val="000000"/>
          <w:sz w:val="24"/>
        </w:rPr>
        <w:t xml:space="preserve"> </w:t>
      </w:r>
    </w:p>
    <w:p w:rsidR="00DB7B54" w:rsidRDefault="004B0104">
      <w:pPr>
        <w:spacing w:before="240" w:after="240"/>
        <w:rPr>
          <w:rFonts w:ascii="Courier New" w:hAnsi="Courier New"/>
        </w:rPr>
      </w:pPr>
      <w:r>
        <w:rPr>
          <w:rFonts w:ascii="Times New Roman" w:hAnsi="Times New Roman"/>
          <w:b/>
          <w:color w:val="000000"/>
          <w:sz w:val="24"/>
        </w:rPr>
        <w:t>Раздел 2 «Результаты деятельности субъекта бюджетной отчетности»</w:t>
      </w:r>
    </w:p>
    <w:p w:rsidR="00DB7B54" w:rsidRDefault="004B0104">
      <w:pPr>
        <w:spacing w:before="240" w:after="240"/>
        <w:rPr>
          <w:rFonts w:ascii="Courier New" w:hAnsi="Courier New"/>
        </w:rPr>
      </w:pPr>
      <w:r>
        <w:rPr>
          <w:rFonts w:ascii="Times New Roman" w:hAnsi="Times New Roman"/>
          <w:color w:val="000000"/>
          <w:sz w:val="24"/>
        </w:rPr>
        <w:t>      Консолидирова</w:t>
      </w:r>
      <w:r w:rsidR="003068BC">
        <w:rPr>
          <w:rFonts w:ascii="Times New Roman" w:hAnsi="Times New Roman"/>
          <w:color w:val="000000"/>
          <w:sz w:val="24"/>
        </w:rPr>
        <w:t>н</w:t>
      </w:r>
      <w:r>
        <w:rPr>
          <w:rFonts w:ascii="Times New Roman" w:hAnsi="Times New Roman"/>
          <w:color w:val="000000"/>
          <w:sz w:val="24"/>
        </w:rPr>
        <w:t>ный бюджет Мещовского района за отчетный период исполнен с профицитом 7 228 694 рубля 53 коп. за счет увеличения остатков денежных средств на начало года, следующего за отчетным. Остатки денежных средств консолидированного бюджета по состоянию на 01.01.2023 года составили 84 507 862 рубля 96 коп. в том числе остатки целевых средств в сумме 0,03 коп. по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DB7B54" w:rsidRDefault="004B0104">
      <w:pPr>
        <w:spacing w:before="240" w:after="240"/>
        <w:rPr>
          <w:rFonts w:ascii="Courier New" w:hAnsi="Courier New"/>
        </w:rPr>
      </w:pPr>
      <w:r>
        <w:rPr>
          <w:rFonts w:ascii="Times New Roman" w:hAnsi="Times New Roman"/>
          <w:b/>
          <w:color w:val="000000"/>
          <w:sz w:val="24"/>
        </w:rPr>
        <w:t>Раздел 3 «Анализ отчета об исполнении бюджета субъектом бюджетной отчетности»</w:t>
      </w:r>
    </w:p>
    <w:p w:rsidR="00DB7B54" w:rsidRDefault="004B0104">
      <w:pPr>
        <w:spacing w:before="240" w:after="240"/>
        <w:rPr>
          <w:rFonts w:ascii="Courier New" w:hAnsi="Courier New"/>
        </w:rPr>
      </w:pPr>
      <w:r>
        <w:rPr>
          <w:rFonts w:ascii="Times New Roman" w:hAnsi="Times New Roman"/>
          <w:color w:val="000000"/>
          <w:sz w:val="24"/>
        </w:rPr>
        <w:t xml:space="preserve">      Доходы местных бюджетов, поступивших за отчетный период, формировались за счет федеральных, региональных и местных налогов и сборов, налогов, предусмотренных специальными налоговыми режимами в соответствии с нормативами отчислений, установленными законодательством Российской Федерации и законодательством Калужской области. За 2022 год в консолидированный бюджет Мещовского района поступило налоговых и неналоговых доходов в сумме 177 943,9 тыс. рублей, что ниже аналогичного показателя за 2021 год на 4 316,8 тыс. рублей или на 2,4 %; исполнение к уточненному плану составило 107,1 %. </w:t>
      </w:r>
    </w:p>
    <w:p w:rsidR="00DB7B54" w:rsidRDefault="004B0104">
      <w:pPr>
        <w:spacing w:before="240" w:after="240"/>
        <w:rPr>
          <w:rFonts w:ascii="Courier New" w:hAnsi="Courier New"/>
        </w:rPr>
      </w:pPr>
      <w:r>
        <w:rPr>
          <w:rFonts w:ascii="Times New Roman" w:hAnsi="Times New Roman"/>
          <w:color w:val="000000"/>
          <w:sz w:val="24"/>
        </w:rPr>
        <w:t>      Налоговые доходы по состоянию на 01.01.2023 года поступили в сумме 166 707,5 тыс. рублей, что на 5 865,9 тыс. рублей или на 3,4 % ниже соответствующего периода 2021 года. В общем объеме собственных доходов консолидированного бюджета налоговые доходы составили 93,7 %. По сравнению с исполнением за 2021 год</w:t>
      </w:r>
      <w:r>
        <w:rPr>
          <w:rFonts w:ascii="Times New Roman" w:hAnsi="Times New Roman"/>
          <w:b/>
          <w:color w:val="000000"/>
          <w:sz w:val="24"/>
        </w:rPr>
        <w:t xml:space="preserve"> </w:t>
      </w:r>
      <w:r>
        <w:rPr>
          <w:rFonts w:ascii="Times New Roman" w:hAnsi="Times New Roman"/>
          <w:color w:val="000000"/>
          <w:sz w:val="24"/>
        </w:rPr>
        <w:t>наблюдается снижение объема поступлений по следующим налоговым доходам:</w:t>
      </w:r>
    </w:p>
    <w:p w:rsidR="00DB7B54" w:rsidRDefault="004B0104">
      <w:pPr>
        <w:spacing w:before="240" w:after="240"/>
        <w:rPr>
          <w:rFonts w:ascii="Courier New" w:hAnsi="Courier New"/>
        </w:rPr>
      </w:pPr>
      <w:r>
        <w:rPr>
          <w:rFonts w:ascii="Times New Roman" w:hAnsi="Times New Roman"/>
          <w:color w:val="000000"/>
          <w:sz w:val="24"/>
        </w:rPr>
        <w:t xml:space="preserve">- по налогу на доходы физических лиц – на 12,7 % или на 13 042,0 тыс. руб. Снижение поступлений от ООО "Автодор-21" с аналогичным периодом прошлого года составило 18 456,5 тыс. руб.; по Решению </w:t>
      </w:r>
      <w:r>
        <w:rPr>
          <w:rFonts w:ascii="Times New Roman" w:hAnsi="Times New Roman"/>
          <w:color w:val="000000"/>
          <w:sz w:val="24"/>
        </w:rPr>
        <w:lastRenderedPageBreak/>
        <w:t>об изменении места нахождения ЮЛ Межрайонная инспекция ФНС № 46 по г. Москве 06.05.2022 внесла изменения в ЕГРЮЛ по ООО "Автодор-21";</w:t>
      </w:r>
    </w:p>
    <w:p w:rsidR="00DB7B54" w:rsidRDefault="004B0104">
      <w:pPr>
        <w:spacing w:before="240" w:after="240"/>
        <w:rPr>
          <w:rFonts w:ascii="Courier New" w:hAnsi="Courier New"/>
        </w:rPr>
      </w:pPr>
      <w:r>
        <w:rPr>
          <w:rFonts w:ascii="Times New Roman" w:hAnsi="Times New Roman"/>
          <w:color w:val="000000"/>
          <w:sz w:val="24"/>
        </w:rPr>
        <w:t>-по налогу на прибыль организаций - на 35,4% или на 62,7 тыс. рублей - в связи с снижением поступлений от ООО "Автодор-21" на 121,4 тыс. руб. </w:t>
      </w:r>
    </w:p>
    <w:p w:rsidR="00DB7B54" w:rsidRDefault="004B0104">
      <w:pPr>
        <w:spacing w:before="240" w:after="240"/>
        <w:rPr>
          <w:rFonts w:ascii="Courier New" w:hAnsi="Courier New"/>
        </w:rPr>
      </w:pPr>
      <w:r>
        <w:rPr>
          <w:rFonts w:ascii="Times New Roman" w:hAnsi="Times New Roman"/>
          <w:color w:val="000000"/>
          <w:sz w:val="24"/>
        </w:rPr>
        <w:t xml:space="preserve">-по налогу, взимаемому в связи с применением упрощенной системы налогообложения, сокращение поступлений по к уровню 2021 года составило 4,6 % или 1 480,1 тыс. руб., что обусловлено задолженностью по УСН ИП Бадалян Артур Гагикович в сумме 743,0 тыс. руб., ООО "Гравий" в сумме 382,3 тыс. руб., ИП Акопян Арен Рафаэлович- 288,8 тыс. руб.; </w:t>
      </w:r>
    </w:p>
    <w:p w:rsidR="00DB7B54" w:rsidRDefault="004B0104">
      <w:pPr>
        <w:rPr>
          <w:rFonts w:ascii="Courier New" w:hAnsi="Courier New"/>
        </w:rPr>
      </w:pPr>
      <w:bookmarkStart w:id="0" w:name="_dx_frag_EndFragment"/>
      <w:bookmarkEnd w:id="0"/>
      <w:r>
        <w:rPr>
          <w:color w:val="000000"/>
        </w:rPr>
        <w:t>-</w:t>
      </w:r>
      <w:r>
        <w:rPr>
          <w:rFonts w:ascii="Times New Roman" w:hAnsi="Times New Roman"/>
          <w:color w:val="000000"/>
        </w:rPr>
        <w:t xml:space="preserve"> по налогу, взимаемому в связи с применением патентной системы налогообложения, исполнение составило 65,4% к уровню 2021 года или 896,4 тыс. руб., что обусловлено сокращением численности ИП, перешедших на уплату налога с применением патентной системы налогообложения, к уровню 2021 года.</w:t>
      </w:r>
    </w:p>
    <w:p w:rsidR="00DB7B54" w:rsidRDefault="004B0104">
      <w:pPr>
        <w:spacing w:before="240" w:after="240"/>
        <w:rPr>
          <w:rFonts w:ascii="Courier New" w:hAnsi="Courier New"/>
        </w:rPr>
      </w:pPr>
      <w:r>
        <w:rPr>
          <w:rFonts w:ascii="Times New Roman" w:hAnsi="Times New Roman"/>
          <w:color w:val="000000"/>
          <w:sz w:val="24"/>
        </w:rPr>
        <w:t>      Увеличение объема поступлений произошло по следующим налоговым доходам:</w:t>
      </w:r>
    </w:p>
    <w:p w:rsidR="00DB7B54" w:rsidRDefault="004B0104">
      <w:pPr>
        <w:spacing w:before="240" w:after="240"/>
        <w:rPr>
          <w:rFonts w:ascii="Courier New" w:hAnsi="Courier New"/>
        </w:rPr>
      </w:pPr>
      <w:r>
        <w:rPr>
          <w:rFonts w:ascii="Times New Roman" w:hAnsi="Times New Roman"/>
          <w:color w:val="000000"/>
          <w:sz w:val="24"/>
        </w:rPr>
        <w:t> - -по доходам от уплаты ак</w:t>
      </w:r>
      <w:r w:rsidR="003068BC">
        <w:rPr>
          <w:rFonts w:ascii="Times New Roman" w:hAnsi="Times New Roman"/>
          <w:color w:val="000000"/>
          <w:sz w:val="24"/>
        </w:rPr>
        <w:t xml:space="preserve">цизов по подакцизным товарам – </w:t>
      </w:r>
      <w:r>
        <w:rPr>
          <w:rFonts w:ascii="Times New Roman" w:hAnsi="Times New Roman"/>
          <w:color w:val="000000"/>
          <w:sz w:val="24"/>
        </w:rPr>
        <w:t>на</w:t>
      </w:r>
      <w:r w:rsidR="003068BC">
        <w:rPr>
          <w:rFonts w:ascii="Times New Roman" w:hAnsi="Times New Roman"/>
          <w:color w:val="000000"/>
          <w:sz w:val="24"/>
        </w:rPr>
        <w:t xml:space="preserve"> </w:t>
      </w:r>
      <w:r>
        <w:rPr>
          <w:rFonts w:ascii="Times New Roman" w:hAnsi="Times New Roman"/>
          <w:color w:val="000000"/>
          <w:sz w:val="24"/>
        </w:rPr>
        <w:t>6 416,6 тыс. руб. в связи с изменением дифференцированных ставок от их уплаты в бюджеты МР и ГП;</w:t>
      </w:r>
    </w:p>
    <w:p w:rsidR="00DB7B54" w:rsidRDefault="004B0104">
      <w:pPr>
        <w:spacing w:before="240" w:after="240"/>
        <w:rPr>
          <w:rFonts w:ascii="Courier New" w:hAnsi="Courier New"/>
        </w:rPr>
      </w:pPr>
      <w:r>
        <w:rPr>
          <w:rFonts w:ascii="Times New Roman" w:hAnsi="Times New Roman"/>
          <w:color w:val="000000"/>
          <w:sz w:val="24"/>
        </w:rPr>
        <w:t>- налогу на имущество организаций на 28,3 % или на 215,6 тыс. рублей за счет увеличения поступлений от ООО "Газпром межрегионгаз" на 131,4 тыс. руб., от ПАО "Россети Центр и Приволжье"-44,2 тыс. руб., ПАО "Газпром"-16,7 тыс. руб.;</w:t>
      </w:r>
    </w:p>
    <w:p w:rsidR="00DB7B54" w:rsidRDefault="004B0104">
      <w:pPr>
        <w:spacing w:before="240" w:after="240"/>
        <w:rPr>
          <w:rFonts w:ascii="Courier New" w:hAnsi="Courier New"/>
        </w:rPr>
      </w:pPr>
      <w:r>
        <w:rPr>
          <w:rFonts w:ascii="Times New Roman" w:hAnsi="Times New Roman"/>
          <w:color w:val="000000"/>
          <w:sz w:val="24"/>
        </w:rPr>
        <w:t>- земельному налогу на 23,6 % или на 2 243,4 тыс. руб. в свя</w:t>
      </w:r>
      <w:r w:rsidR="003068BC">
        <w:rPr>
          <w:rFonts w:ascii="Times New Roman" w:hAnsi="Times New Roman"/>
          <w:color w:val="000000"/>
          <w:sz w:val="24"/>
        </w:rPr>
        <w:t>з</w:t>
      </w:r>
      <w:r>
        <w:rPr>
          <w:rFonts w:ascii="Times New Roman" w:hAnsi="Times New Roman"/>
          <w:color w:val="000000"/>
          <w:sz w:val="24"/>
        </w:rPr>
        <w:t>и с погашением в отчетном периоде недоимки по земельному налогу от физических лиц, обладающими земельными участками, расположенными в границах сельских поселений,  в сумме 1 399,6 тыс. руб., в границах городского поселения-151,5 тыс. руб. Рост поступлений по земельному налогу с организаций от ООО "Брянская мясная компания" на 395,3 тыс. руб., ООО "Кудрино" на 255,3 тыс. руб., ООО "Сельскохозяйственное предприятие имени Димитрова"-102,5 тыс. руб.</w:t>
      </w:r>
    </w:p>
    <w:p w:rsidR="00DB7B54" w:rsidRDefault="004B0104">
      <w:pPr>
        <w:spacing w:before="240" w:after="240"/>
        <w:rPr>
          <w:rFonts w:ascii="Courier New" w:hAnsi="Courier New"/>
        </w:rPr>
      </w:pPr>
      <w:r>
        <w:rPr>
          <w:rFonts w:ascii="Times New Roman" w:hAnsi="Times New Roman"/>
          <w:color w:val="000000"/>
          <w:sz w:val="24"/>
        </w:rPr>
        <w:t>      По</w:t>
      </w:r>
      <w:r>
        <w:rPr>
          <w:rFonts w:ascii="Times New Roman" w:hAnsi="Times New Roman"/>
          <w:b/>
          <w:color w:val="000000"/>
          <w:sz w:val="24"/>
        </w:rPr>
        <w:t xml:space="preserve"> </w:t>
      </w:r>
      <w:r>
        <w:rPr>
          <w:rFonts w:ascii="Times New Roman" w:hAnsi="Times New Roman"/>
          <w:color w:val="000000"/>
          <w:sz w:val="24"/>
        </w:rPr>
        <w:t>неналоговым доходам</w:t>
      </w:r>
      <w:r>
        <w:rPr>
          <w:rFonts w:ascii="Times New Roman" w:hAnsi="Times New Roman"/>
          <w:b/>
          <w:color w:val="000000"/>
          <w:sz w:val="24"/>
        </w:rPr>
        <w:t xml:space="preserve"> </w:t>
      </w:r>
      <w:r>
        <w:rPr>
          <w:rFonts w:ascii="Times New Roman" w:hAnsi="Times New Roman"/>
          <w:color w:val="000000"/>
          <w:sz w:val="24"/>
        </w:rPr>
        <w:t xml:space="preserve">объем поступлений составил11 236,4 тыс. рублей, что на 1 549,1 тыс. рублей или на 16 % выше соответствующего периода 2021 года. Увеличение объема неналоговых доходов обусловлено поступлением в отчетном периоде 2022 года в доход бюджета СП "Железнодорожная станция Кудринская" доходов от продажи земельных участков, находящихся в собственности сельских поселений в сумме 2 154,6 тыс. руб. </w:t>
      </w:r>
    </w:p>
    <w:p w:rsidR="00DB7B54" w:rsidRDefault="004B0104">
      <w:pPr>
        <w:rPr>
          <w:rFonts w:ascii="Courier New" w:hAnsi="Courier New"/>
        </w:rPr>
      </w:pPr>
      <w:r>
        <w:rPr>
          <w:rFonts w:ascii="Times New Roman" w:hAnsi="Times New Roman"/>
          <w:color w:val="000000"/>
          <w:sz w:val="24"/>
        </w:rPr>
        <w:t>      Расходная часть консолидированного бюджета исполнена на 98,1 %. Неисполненных бюджетных обязательств по состоянию на 01.01.2023 года нет.</w:t>
      </w:r>
    </w:p>
    <w:p w:rsidR="00DB7B54" w:rsidRDefault="004B0104">
      <w:pPr>
        <w:rPr>
          <w:rFonts w:ascii="Courier New" w:hAnsi="Courier New"/>
        </w:rPr>
      </w:pPr>
      <w:r>
        <w:rPr>
          <w:rFonts w:ascii="Times New Roman" w:hAnsi="Times New Roman"/>
          <w:color w:val="000000"/>
          <w:sz w:val="24"/>
        </w:rPr>
        <w:t>      На финансирование расходов социального характера в отчетном периоде направлено 780 326,6 тыс. рублей, или 78,8% от общего объема расходов бюджета муниципального района "Мещовский район",</w:t>
      </w:r>
      <w:r w:rsidR="003068BC">
        <w:rPr>
          <w:rFonts w:ascii="Times New Roman" w:hAnsi="Times New Roman"/>
          <w:color w:val="000000"/>
          <w:sz w:val="24"/>
        </w:rPr>
        <w:t xml:space="preserve"> </w:t>
      </w:r>
      <w:r>
        <w:rPr>
          <w:rFonts w:ascii="Times New Roman" w:hAnsi="Times New Roman"/>
          <w:color w:val="000000"/>
          <w:sz w:val="24"/>
        </w:rPr>
        <w:t>в том числе на образование- 609 181,6 тыс. рублей, культуру, кинематографию- 42 200,7 тыс. рублей, социальную политику- 121 448,7 тыс. рублей, физическую культуру и спорт- 7 495,6 тыс. рублей.</w:t>
      </w:r>
    </w:p>
    <w:p w:rsidR="00DB7B54" w:rsidRDefault="004B0104">
      <w:pPr>
        <w:rPr>
          <w:rFonts w:ascii="Courier New" w:hAnsi="Courier New"/>
        </w:rPr>
      </w:pPr>
      <w:r>
        <w:rPr>
          <w:rFonts w:ascii="Times New Roman" w:hAnsi="Times New Roman"/>
          <w:color w:val="000000"/>
          <w:sz w:val="24"/>
        </w:rPr>
        <w:t>        В структуре расходов бюджета муниципального района наибольший удельный вес занимают расходы на образование- 61,5% и социальную политику- 12,3%.</w:t>
      </w:r>
    </w:p>
    <w:p w:rsidR="00DB7B54" w:rsidRDefault="004B0104">
      <w:pPr>
        <w:ind w:firstLine="700"/>
        <w:rPr>
          <w:rFonts w:ascii="Courier New" w:hAnsi="Courier New"/>
        </w:rPr>
      </w:pPr>
      <w:r>
        <w:rPr>
          <w:rFonts w:ascii="Times New Roman" w:hAnsi="Times New Roman"/>
          <w:color w:val="000000"/>
          <w:sz w:val="24"/>
        </w:rPr>
        <w:t> </w:t>
      </w:r>
    </w:p>
    <w:p w:rsidR="00DB7B54" w:rsidRDefault="004B0104">
      <w:pPr>
        <w:ind w:firstLine="700"/>
        <w:rPr>
          <w:rFonts w:ascii="Courier New" w:hAnsi="Courier New"/>
        </w:rPr>
      </w:pPr>
      <w:r>
        <w:rPr>
          <w:rFonts w:ascii="Times New Roman" w:hAnsi="Times New Roman"/>
          <w:b/>
          <w:color w:val="000000"/>
          <w:sz w:val="24"/>
        </w:rPr>
        <w:t>Раздел 4 «Анализ показателей бухгалтерской отчетности субъекта бюджетной отчетности»</w:t>
      </w:r>
    </w:p>
    <w:p w:rsidR="00DB7B54" w:rsidRDefault="004B0104">
      <w:pPr>
        <w:spacing w:before="240" w:after="240"/>
        <w:rPr>
          <w:rFonts w:ascii="Courier New" w:hAnsi="Courier New"/>
        </w:rPr>
      </w:pPr>
      <w:r>
        <w:rPr>
          <w:rFonts w:ascii="Times New Roman" w:hAnsi="Times New Roman"/>
          <w:color w:val="000000"/>
          <w:sz w:val="24"/>
        </w:rPr>
        <w:t>         В балансе ф. 0503320G остатки на конец отчетного периода по счету 010610000 "Вложения в недвижимое имущество учреждения" составили 2 811 726 руб. 04 коп., что соответствует данным в форме 490G «Сведения об объектах незавершенного строительства, вложениях в объекты недвижимого имущества» и ф. 0503368 "Сведения о движении нефинансовых активов", в том числе: "Строительство сельского дома культуры на 100 мест в п.Молодежный Мещовского района Калужской области" - 2 316</w:t>
      </w:r>
      <w:r w:rsidR="003068BC">
        <w:rPr>
          <w:rFonts w:ascii="Times New Roman" w:hAnsi="Times New Roman"/>
          <w:color w:val="000000"/>
          <w:sz w:val="24"/>
        </w:rPr>
        <w:t> </w:t>
      </w:r>
      <w:r>
        <w:rPr>
          <w:rFonts w:ascii="Times New Roman" w:hAnsi="Times New Roman"/>
          <w:color w:val="000000"/>
          <w:sz w:val="24"/>
        </w:rPr>
        <w:t>936</w:t>
      </w:r>
      <w:r w:rsidR="003068BC">
        <w:rPr>
          <w:rFonts w:ascii="Times New Roman" w:hAnsi="Times New Roman"/>
          <w:color w:val="000000"/>
          <w:sz w:val="24"/>
        </w:rPr>
        <w:t>,</w:t>
      </w:r>
      <w:r>
        <w:rPr>
          <w:rFonts w:ascii="Times New Roman" w:hAnsi="Times New Roman"/>
          <w:color w:val="000000"/>
          <w:sz w:val="24"/>
        </w:rPr>
        <w:t xml:space="preserve">04 </w:t>
      </w:r>
      <w:r w:rsidR="003068BC">
        <w:rPr>
          <w:rFonts w:ascii="Times New Roman" w:hAnsi="Times New Roman"/>
          <w:color w:val="000000"/>
          <w:sz w:val="24"/>
        </w:rPr>
        <w:t>руб</w:t>
      </w:r>
      <w:r>
        <w:rPr>
          <w:rFonts w:ascii="Times New Roman" w:hAnsi="Times New Roman"/>
          <w:color w:val="000000"/>
          <w:sz w:val="24"/>
        </w:rPr>
        <w:t xml:space="preserve">., "Универсальная спортивная площадка 20х40м по адресу: </w:t>
      </w:r>
      <w:r>
        <w:rPr>
          <w:rFonts w:ascii="Times New Roman" w:hAnsi="Times New Roman"/>
          <w:color w:val="000000"/>
          <w:sz w:val="24"/>
        </w:rPr>
        <w:lastRenderedPageBreak/>
        <w:t>Калужская область, Мещовский район, с. Серпейск, ул. Ленина, д.17б" - 494 790 руб. С</w:t>
      </w:r>
      <w:r w:rsidR="003068BC">
        <w:rPr>
          <w:rFonts w:ascii="Times New Roman" w:hAnsi="Times New Roman"/>
          <w:color w:val="000000"/>
          <w:sz w:val="24"/>
        </w:rPr>
        <w:t>т</w:t>
      </w:r>
      <w:r>
        <w:rPr>
          <w:rFonts w:ascii="Times New Roman" w:hAnsi="Times New Roman"/>
          <w:color w:val="000000"/>
          <w:sz w:val="24"/>
        </w:rPr>
        <w:t>роительство по данным объектам не начиналось, расходы произведены на разработку и экспертизу проектно-сметных документаций.</w:t>
      </w:r>
    </w:p>
    <w:p w:rsidR="00DB7B54" w:rsidRDefault="004B0104">
      <w:pPr>
        <w:rPr>
          <w:rFonts w:ascii="Courier New" w:hAnsi="Courier New"/>
        </w:rPr>
      </w:pPr>
      <w:r>
        <w:rPr>
          <w:rFonts w:ascii="Times New Roman" w:hAnsi="Times New Roman"/>
          <w:color w:val="000000"/>
          <w:sz w:val="24"/>
        </w:rPr>
        <w:t>      В справке по заключению счетов бюджетного учета отчетного финансового года (ф.410G) по КБК 20710050050000197 "Безвозмездные межбюджетные неденежные поступления от бюджетных (автономных) учреждений в бюджеты муниципальных районов", аналитическому счету бюджетного учета 140110191 отражено 436 210,57 руб., в том числе:</w:t>
      </w:r>
    </w:p>
    <w:p w:rsidR="00DB7B54" w:rsidRDefault="004B0104">
      <w:pPr>
        <w:rPr>
          <w:rFonts w:ascii="Courier New" w:hAnsi="Courier New"/>
        </w:rPr>
      </w:pPr>
      <w:r>
        <w:rPr>
          <w:rFonts w:ascii="Times New Roman" w:hAnsi="Times New Roman"/>
          <w:color w:val="000000"/>
          <w:sz w:val="24"/>
        </w:rPr>
        <w:t>-от ГБУ ДО КО детско-юношеский центр</w:t>
      </w:r>
      <w:r w:rsidR="003068BC">
        <w:rPr>
          <w:rFonts w:ascii="Times New Roman" w:hAnsi="Times New Roman"/>
          <w:color w:val="000000"/>
          <w:sz w:val="24"/>
        </w:rPr>
        <w:t xml:space="preserve"> </w:t>
      </w:r>
      <w:r>
        <w:rPr>
          <w:rFonts w:ascii="Times New Roman" w:hAnsi="Times New Roman"/>
          <w:color w:val="000000"/>
          <w:sz w:val="24"/>
        </w:rPr>
        <w:t>"Калужский областной центр туризма, краеведения и экскурсий"-- туристическое снаряжение на сумму 394 578,07 руб., </w:t>
      </w:r>
    </w:p>
    <w:p w:rsidR="00DB7B54" w:rsidRDefault="004B0104">
      <w:pPr>
        <w:rPr>
          <w:rFonts w:ascii="Courier New" w:hAnsi="Courier New"/>
        </w:rPr>
      </w:pPr>
      <w:r>
        <w:rPr>
          <w:rFonts w:ascii="Times New Roman" w:hAnsi="Times New Roman"/>
          <w:color w:val="000000"/>
          <w:sz w:val="24"/>
        </w:rPr>
        <w:t> -от ГБУК КО "Калужская областная научная библиотека им.</w:t>
      </w:r>
      <w:r w:rsidR="003068BC">
        <w:rPr>
          <w:rFonts w:ascii="Times New Roman" w:hAnsi="Times New Roman"/>
          <w:color w:val="000000"/>
          <w:sz w:val="24"/>
        </w:rPr>
        <w:t xml:space="preserve"> </w:t>
      </w:r>
      <w:r>
        <w:rPr>
          <w:rFonts w:ascii="Times New Roman" w:hAnsi="Times New Roman"/>
          <w:color w:val="000000"/>
          <w:sz w:val="24"/>
        </w:rPr>
        <w:t>В.Г.</w:t>
      </w:r>
      <w:r w:rsidR="003068BC">
        <w:rPr>
          <w:rFonts w:ascii="Times New Roman" w:hAnsi="Times New Roman"/>
          <w:color w:val="000000"/>
          <w:sz w:val="24"/>
        </w:rPr>
        <w:t xml:space="preserve"> </w:t>
      </w:r>
      <w:r>
        <w:rPr>
          <w:rFonts w:ascii="Times New Roman" w:hAnsi="Times New Roman"/>
          <w:color w:val="000000"/>
          <w:sz w:val="24"/>
        </w:rPr>
        <w:t xml:space="preserve">Белинского" на сумму 20 940 руб.: Калужский литературный альманах "Облака" 20 шт. на 14000,00 руб., издание материалов круглого стола "Человек и вселенная" 1 шт. на 500,00 руб., Литературно-художественный альманах "Галерея" 2 шт. на 600,00 руб., Календарь знаменательных и памятных дат Калужской области на 2022г. на 500,00 руб., Серия подарочных презентационных книг. 2 шт. на 5340,00 руб.; </w:t>
      </w:r>
    </w:p>
    <w:p w:rsidR="00DB7B54" w:rsidRDefault="004B0104" w:rsidP="001B6B34">
      <w:pPr>
        <w:rPr>
          <w:rFonts w:ascii="Courier New" w:hAnsi="Courier New"/>
        </w:rPr>
      </w:pPr>
      <w:r>
        <w:rPr>
          <w:rFonts w:ascii="Times New Roman" w:hAnsi="Times New Roman"/>
          <w:color w:val="000000"/>
          <w:sz w:val="24"/>
        </w:rPr>
        <w:t>-от ГАОУ ДПО КО "Калужский государственный институт развития образования" на сумму 20 692,50 руб.: набор реактивов для проведения экзамена по химии в 9 классе для ППЭ на 15000,00 руб., Козлова А.А., Половникова А.В., Рутковская Е.Л.,</w:t>
      </w:r>
      <w:r w:rsidR="003068BC">
        <w:rPr>
          <w:rFonts w:ascii="Times New Roman" w:hAnsi="Times New Roman"/>
          <w:color w:val="000000"/>
          <w:sz w:val="24"/>
        </w:rPr>
        <w:t xml:space="preserve"> </w:t>
      </w:r>
      <w:r>
        <w:rPr>
          <w:rFonts w:ascii="Times New Roman" w:hAnsi="Times New Roman"/>
          <w:color w:val="000000"/>
          <w:sz w:val="24"/>
        </w:rPr>
        <w:t>Королькова Е.С.</w:t>
      </w:r>
      <w:r w:rsidR="003068BC">
        <w:rPr>
          <w:rFonts w:ascii="Times New Roman" w:hAnsi="Times New Roman"/>
          <w:color w:val="000000"/>
          <w:sz w:val="24"/>
        </w:rPr>
        <w:t xml:space="preserve"> </w:t>
      </w:r>
      <w:r>
        <w:rPr>
          <w:rFonts w:ascii="Times New Roman" w:hAnsi="Times New Roman"/>
          <w:color w:val="000000"/>
          <w:sz w:val="24"/>
        </w:rPr>
        <w:t>"Финансовая грамотность. Сборник эталонных заданий.</w:t>
      </w:r>
      <w:r w:rsidR="003068BC">
        <w:rPr>
          <w:rFonts w:ascii="Times New Roman" w:hAnsi="Times New Roman"/>
          <w:color w:val="000000"/>
          <w:sz w:val="24"/>
        </w:rPr>
        <w:t xml:space="preserve"> </w:t>
      </w:r>
      <w:r>
        <w:rPr>
          <w:rFonts w:ascii="Times New Roman" w:hAnsi="Times New Roman"/>
          <w:color w:val="000000"/>
          <w:sz w:val="24"/>
        </w:rPr>
        <w:t>Выпуск 1.2021, 25 шт. на 5692,50 руб.   </w:t>
      </w:r>
      <w:r w:rsidR="001B6B34">
        <w:rPr>
          <w:rFonts w:ascii="Times New Roman" w:hAnsi="Times New Roman"/>
          <w:color w:val="000000"/>
          <w:sz w:val="24"/>
        </w:rPr>
        <w:t xml:space="preserve">                                                            </w:t>
      </w:r>
      <w:r>
        <w:rPr>
          <w:rFonts w:ascii="Times New Roman" w:hAnsi="Times New Roman"/>
          <w:color w:val="000000"/>
          <w:sz w:val="24"/>
        </w:rPr>
        <w:t>по КБК 20710050050000197 "Безвозмездные межбюджетные неденежные поступления от бюджетных (автономных) учреждений в бюджеты муниципальных районов", аналитическому счету бюджетного учета 140110195 отражено 10 212 745,71 руб., в том числе:</w:t>
      </w:r>
      <w:r w:rsidR="003068BC">
        <w:rPr>
          <w:rFonts w:ascii="Times New Roman" w:hAnsi="Times New Roman"/>
          <w:color w:val="000000"/>
          <w:sz w:val="24"/>
        </w:rPr>
        <w:t xml:space="preserve">                                                                             -от </w:t>
      </w:r>
      <w:r>
        <w:rPr>
          <w:rFonts w:ascii="Times New Roman" w:hAnsi="Times New Roman"/>
          <w:color w:val="000000"/>
          <w:sz w:val="24"/>
        </w:rPr>
        <w:t>ГАОУ ДПО КО "Калужский государственный институт развития образования"</w:t>
      </w:r>
      <w:r w:rsidR="003068BC">
        <w:rPr>
          <w:rFonts w:ascii="Times New Roman" w:hAnsi="Times New Roman"/>
          <w:color w:val="000000"/>
          <w:sz w:val="24"/>
        </w:rPr>
        <w:t xml:space="preserve"> </w:t>
      </w:r>
      <w:r>
        <w:rPr>
          <w:rFonts w:ascii="Times New Roman" w:hAnsi="Times New Roman"/>
          <w:color w:val="000000"/>
          <w:sz w:val="24"/>
        </w:rPr>
        <w:t>безвозмездно передано основных средств на сумму 9 586 657,93 руб.:</w:t>
      </w:r>
      <w:r w:rsidR="003068BC">
        <w:rPr>
          <w:rFonts w:ascii="Times New Roman" w:hAnsi="Times New Roman"/>
          <w:color w:val="000000"/>
          <w:sz w:val="24"/>
        </w:rPr>
        <w:t xml:space="preserve"> </w:t>
      </w:r>
      <w:r>
        <w:rPr>
          <w:rFonts w:ascii="Times New Roman" w:hAnsi="Times New Roman"/>
          <w:color w:val="000000"/>
          <w:sz w:val="24"/>
        </w:rPr>
        <w:t>3 комплекта учебных пособий</w:t>
      </w:r>
      <w:r w:rsidR="003068BC">
        <w:rPr>
          <w:rFonts w:ascii="Times New Roman" w:hAnsi="Times New Roman"/>
          <w:color w:val="000000"/>
          <w:sz w:val="24"/>
        </w:rPr>
        <w:t xml:space="preserve"> </w:t>
      </w:r>
      <w:r>
        <w:rPr>
          <w:rFonts w:ascii="Times New Roman" w:hAnsi="Times New Roman"/>
          <w:color w:val="000000"/>
          <w:sz w:val="24"/>
        </w:rPr>
        <w:t>Стахович Л.В.,</w:t>
      </w:r>
      <w:r w:rsidR="003068BC">
        <w:rPr>
          <w:rFonts w:ascii="Times New Roman" w:hAnsi="Times New Roman"/>
          <w:color w:val="000000"/>
          <w:sz w:val="24"/>
        </w:rPr>
        <w:t xml:space="preserve"> </w:t>
      </w:r>
      <w:r>
        <w:rPr>
          <w:rFonts w:ascii="Times New Roman" w:hAnsi="Times New Roman"/>
          <w:color w:val="000000"/>
          <w:sz w:val="24"/>
        </w:rPr>
        <w:t>Семенкова Е.В.,</w:t>
      </w:r>
      <w:r w:rsidR="003068BC">
        <w:rPr>
          <w:rFonts w:ascii="Times New Roman" w:hAnsi="Times New Roman"/>
          <w:color w:val="000000"/>
          <w:sz w:val="24"/>
        </w:rPr>
        <w:t xml:space="preserve"> </w:t>
      </w:r>
      <w:r>
        <w:rPr>
          <w:rFonts w:ascii="Times New Roman" w:hAnsi="Times New Roman"/>
          <w:color w:val="000000"/>
          <w:sz w:val="24"/>
        </w:rPr>
        <w:t>Рыжановская Л.Ю. "Занимательные финансы,</w:t>
      </w:r>
      <w:r w:rsidR="003068BC">
        <w:rPr>
          <w:rFonts w:ascii="Times New Roman" w:hAnsi="Times New Roman"/>
          <w:color w:val="000000"/>
          <w:sz w:val="24"/>
        </w:rPr>
        <w:t xml:space="preserve"> </w:t>
      </w:r>
      <w:r>
        <w:rPr>
          <w:rFonts w:ascii="Times New Roman" w:hAnsi="Times New Roman"/>
          <w:color w:val="000000"/>
          <w:sz w:val="24"/>
        </w:rPr>
        <w:t>Азы для дошкольников" Для старшей и подготовительной групп, на 6000,00 руб., интерактивные комплексы на 4 490 113,43 руб., цифровые лаборатории по химии, физике, экологии, физиологии, биологии, ноутбуки,</w:t>
      </w:r>
      <w:r w:rsidR="003068BC">
        <w:rPr>
          <w:rFonts w:ascii="Times New Roman" w:hAnsi="Times New Roman"/>
          <w:color w:val="000000"/>
          <w:sz w:val="24"/>
        </w:rPr>
        <w:t xml:space="preserve"> </w:t>
      </w:r>
      <w:r>
        <w:rPr>
          <w:rFonts w:ascii="Times New Roman" w:hAnsi="Times New Roman"/>
          <w:color w:val="000000"/>
          <w:sz w:val="24"/>
        </w:rPr>
        <w:t>МФУ на 4 714 469,72 руб., Лавренова Е.Б., Лаврентьева О.Н. Общественно-научные предметы, Финансовая</w:t>
      </w:r>
      <w:r w:rsidR="003068BC">
        <w:rPr>
          <w:rFonts w:ascii="Times New Roman" w:hAnsi="Times New Roman"/>
          <w:color w:val="000000"/>
          <w:sz w:val="24"/>
        </w:rPr>
        <w:t xml:space="preserve"> </w:t>
      </w:r>
      <w:r>
        <w:rPr>
          <w:rFonts w:ascii="Times New Roman" w:hAnsi="Times New Roman"/>
          <w:color w:val="000000"/>
          <w:sz w:val="24"/>
        </w:rPr>
        <w:t>грамотность.</w:t>
      </w:r>
      <w:r w:rsidR="003068BC">
        <w:rPr>
          <w:rFonts w:ascii="Times New Roman" w:hAnsi="Times New Roman"/>
          <w:color w:val="000000"/>
          <w:sz w:val="24"/>
        </w:rPr>
        <w:t xml:space="preserve"> </w:t>
      </w:r>
      <w:r>
        <w:rPr>
          <w:rFonts w:ascii="Times New Roman" w:hAnsi="Times New Roman"/>
          <w:color w:val="000000"/>
          <w:sz w:val="24"/>
        </w:rPr>
        <w:t>Современный мир 8-9 классы.2021, 40 шт. на 15 048,00 руб., Толкачева С.В. Общественные науки. Финансовая грамотность.</w:t>
      </w:r>
      <w:r w:rsidR="003068BC">
        <w:rPr>
          <w:rFonts w:ascii="Times New Roman" w:hAnsi="Times New Roman"/>
          <w:color w:val="000000"/>
          <w:sz w:val="24"/>
        </w:rPr>
        <w:t xml:space="preserve"> </w:t>
      </w:r>
      <w:r>
        <w:rPr>
          <w:rFonts w:ascii="Times New Roman" w:hAnsi="Times New Roman"/>
          <w:color w:val="000000"/>
          <w:sz w:val="24"/>
        </w:rPr>
        <w:t>Цифровой мир.10-11классы. Базовый уровень 2021, 8 шт. на 2 992,00 руб., неисключительные права пользования на базовый пакет лицензий на ПО, 346 шт. на 353 857,66 руб., неисключительное право пользования на серверную операционную систему Microsoft, 16 шт. на 4 177,12 руб. ,                                                                                       </w:t>
      </w:r>
      <w:r w:rsidR="003068BC">
        <w:rPr>
          <w:rFonts w:ascii="Times New Roman" w:hAnsi="Times New Roman"/>
          <w:color w:val="000000"/>
          <w:sz w:val="24"/>
        </w:rPr>
        <w:t xml:space="preserve">                                                                     -</w:t>
      </w:r>
      <w:r>
        <w:rPr>
          <w:rFonts w:ascii="Times New Roman" w:hAnsi="Times New Roman"/>
          <w:color w:val="000000"/>
          <w:sz w:val="24"/>
        </w:rPr>
        <w:t>от ГБУК КО "Калужская областная научная библиотека им Белинского": "Православная энциклопедия" тома 56 - 63 по 8 шт. на сумму 64 000,00 руб. ,                                                      </w:t>
      </w:r>
      <w:r w:rsidR="003068BC">
        <w:rPr>
          <w:rFonts w:ascii="Times New Roman" w:hAnsi="Times New Roman"/>
          <w:color w:val="000000"/>
          <w:sz w:val="24"/>
        </w:rPr>
        <w:t xml:space="preserve">                -</w:t>
      </w:r>
      <w:r>
        <w:rPr>
          <w:rFonts w:ascii="Times New Roman" w:hAnsi="Times New Roman"/>
          <w:color w:val="000000"/>
          <w:sz w:val="24"/>
        </w:rPr>
        <w:t>от ГБУ ДО КО детско-юношеский центр</w:t>
      </w:r>
      <w:r w:rsidR="003068BC">
        <w:rPr>
          <w:rFonts w:ascii="Times New Roman" w:hAnsi="Times New Roman"/>
          <w:color w:val="000000"/>
          <w:sz w:val="24"/>
        </w:rPr>
        <w:t xml:space="preserve"> </w:t>
      </w:r>
      <w:r>
        <w:rPr>
          <w:rFonts w:ascii="Times New Roman" w:hAnsi="Times New Roman"/>
          <w:color w:val="000000"/>
          <w:sz w:val="24"/>
        </w:rPr>
        <w:t>"Калужский областной центр туризма,</w:t>
      </w:r>
      <w:r w:rsidR="003068BC">
        <w:rPr>
          <w:rFonts w:ascii="Times New Roman" w:hAnsi="Times New Roman"/>
          <w:color w:val="000000"/>
          <w:sz w:val="24"/>
        </w:rPr>
        <w:t xml:space="preserve"> </w:t>
      </w:r>
      <w:r>
        <w:rPr>
          <w:rFonts w:ascii="Times New Roman" w:hAnsi="Times New Roman"/>
          <w:color w:val="000000"/>
          <w:sz w:val="24"/>
        </w:rPr>
        <w:t xml:space="preserve">краеведения и экскурсий": туристическое снаряжение на  562 087,78 руб. </w:t>
      </w:r>
      <w:r>
        <w:rPr>
          <w:color w:val="000000"/>
          <w:sz w:val="24"/>
        </w:rPr>
        <w:t>                                               </w:t>
      </w:r>
    </w:p>
    <w:p w:rsidR="00DB7B54" w:rsidRDefault="004B0104">
      <w:pPr>
        <w:rPr>
          <w:rFonts w:ascii="Courier New" w:hAnsi="Courier New"/>
        </w:rPr>
      </w:pPr>
      <w:r>
        <w:rPr>
          <w:rFonts w:ascii="Times New Roman" w:hAnsi="Times New Roman"/>
          <w:color w:val="000000"/>
          <w:sz w:val="24"/>
        </w:rPr>
        <w:t>      В Отчете ф.0503321G по КОСГУ 173 "Чрезвычайные доходы от операций с активами" отражены со з</w:t>
      </w:r>
      <w:r w:rsidR="003068BC">
        <w:rPr>
          <w:rFonts w:ascii="Times New Roman" w:hAnsi="Times New Roman"/>
          <w:color w:val="000000"/>
          <w:sz w:val="24"/>
        </w:rPr>
        <w:t>н</w:t>
      </w:r>
      <w:r>
        <w:rPr>
          <w:rFonts w:ascii="Times New Roman" w:hAnsi="Times New Roman"/>
          <w:color w:val="000000"/>
          <w:sz w:val="24"/>
        </w:rPr>
        <w:t xml:space="preserve">аком (-) денежные средства в сумме 422 587 рублей 82 коп, начисленные УФНС по Калужской области как сумма списанной задолженности, нереальной к взысканию в соответствии со ст. 59 Налогового кодекса РФ (по причине банкротства юридических, физических лиц, смерти физических лиц, ликвидации задолженности недействующих лиц. Списание осуществлено на основании Реестров сумм списанной задолженности, нереальной к взысканию. </w:t>
      </w:r>
    </w:p>
    <w:p w:rsidR="00DB7B54" w:rsidRDefault="004B0104">
      <w:pPr>
        <w:rPr>
          <w:rFonts w:ascii="Courier New" w:hAnsi="Courier New"/>
        </w:rPr>
      </w:pPr>
      <w:r>
        <w:rPr>
          <w:rFonts w:ascii="Times New Roman" w:hAnsi="Times New Roman"/>
          <w:color w:val="000000"/>
          <w:sz w:val="24"/>
        </w:rPr>
        <w:t> </w:t>
      </w:r>
    </w:p>
    <w:p w:rsidR="00DB7B54" w:rsidRDefault="004B0104">
      <w:pPr>
        <w:rPr>
          <w:rFonts w:ascii="Courier New" w:hAnsi="Courier New"/>
        </w:rPr>
      </w:pPr>
      <w:r>
        <w:rPr>
          <w:rFonts w:ascii="Times New Roman" w:hAnsi="Times New Roman"/>
          <w:color w:val="000000"/>
          <w:sz w:val="24"/>
        </w:rPr>
        <w:t>      В ф. 0503368G "Сведения о движении нефинансовых активов" по строке 400, счету 110851000 "Недвижимое имущество в составе имущества казны"</w:t>
      </w:r>
      <w:r w:rsidR="002C346A">
        <w:rPr>
          <w:rFonts w:ascii="Times New Roman" w:hAnsi="Times New Roman"/>
          <w:color w:val="000000"/>
          <w:sz w:val="24"/>
        </w:rPr>
        <w:t xml:space="preserve"> </w:t>
      </w:r>
      <w:r>
        <w:rPr>
          <w:rFonts w:ascii="Times New Roman" w:hAnsi="Times New Roman"/>
          <w:color w:val="000000"/>
          <w:sz w:val="24"/>
        </w:rPr>
        <w:t>на конец отчетного периода отражено 151 017 168,71 р</w:t>
      </w:r>
      <w:r w:rsidR="003068BC">
        <w:rPr>
          <w:rFonts w:ascii="Times New Roman" w:hAnsi="Times New Roman"/>
          <w:color w:val="000000"/>
          <w:sz w:val="24"/>
        </w:rPr>
        <w:t>у</w:t>
      </w:r>
      <w:r>
        <w:rPr>
          <w:rFonts w:ascii="Times New Roman" w:hAnsi="Times New Roman"/>
          <w:color w:val="000000"/>
          <w:sz w:val="24"/>
        </w:rPr>
        <w:t>б., по строке 510, счету 110855000 "Непроизведенные активы в составе имущества казны" на конец года отражена кадастровая стоимость земельных участков, находящихся в муниципальной собственности, в сумме 290 956 130,04 руб.</w:t>
      </w:r>
    </w:p>
    <w:p w:rsidR="00DB7B54" w:rsidRDefault="004B0104">
      <w:pPr>
        <w:spacing w:before="240" w:after="240"/>
        <w:rPr>
          <w:rFonts w:ascii="Courier New" w:hAnsi="Courier New"/>
        </w:rPr>
      </w:pPr>
      <w:r>
        <w:rPr>
          <w:rFonts w:ascii="Times New Roman" w:hAnsi="Times New Roman"/>
          <w:color w:val="000000"/>
          <w:sz w:val="24"/>
        </w:rPr>
        <w:t>      В форме 0503371G "Сведения о финансовых вложениях" финансовые вложения в сумме 3 700 000 рублей отражены по уставному фонду эмитента МУП "Мещовские тепловые сети", ИНН 4013003535.</w:t>
      </w:r>
      <w:bookmarkStart w:id="1" w:name="_dx_frag_StartFragment"/>
      <w:bookmarkEnd w:id="1"/>
    </w:p>
    <w:p w:rsidR="002C346A" w:rsidRDefault="004B0104">
      <w:pPr>
        <w:spacing w:before="240" w:after="240"/>
        <w:rPr>
          <w:rFonts w:ascii="Times New Roman" w:hAnsi="Times New Roman"/>
          <w:color w:val="000000"/>
          <w:sz w:val="24"/>
        </w:rPr>
      </w:pPr>
      <w:r>
        <w:rPr>
          <w:rFonts w:ascii="Times New Roman" w:hAnsi="Times New Roman"/>
          <w:color w:val="000000"/>
          <w:sz w:val="24"/>
        </w:rPr>
        <w:lastRenderedPageBreak/>
        <w:t>       В форме 0503373G "Сведения об изменении остатков валюты баланса (бюджетная деятельность)" по коду причины 03, повлиявшей на изменение показателей вступительного баланса, Служба по организационному обеспечению деятельности мировых судей Калужской области отразила исправление ошибок прошлых лет, возникшее в связи с корректировкой в межотчетный период доходов, начисленных в 2021 году, на сумму 15 000,00 руб., Управление административно-технического контроля Калужской области- на сумму 70 000,00 руб</w:t>
      </w:r>
      <w:r w:rsidR="002C346A">
        <w:rPr>
          <w:rFonts w:ascii="Times New Roman" w:hAnsi="Times New Roman"/>
          <w:color w:val="000000"/>
          <w:sz w:val="24"/>
        </w:rPr>
        <w:t xml:space="preserve">. </w:t>
      </w:r>
    </w:p>
    <w:p w:rsidR="00DB7B54" w:rsidRDefault="002C346A">
      <w:pPr>
        <w:spacing w:before="240" w:after="240"/>
        <w:rPr>
          <w:rFonts w:ascii="Courier New" w:hAnsi="Courier New"/>
        </w:rPr>
      </w:pPr>
      <w:r>
        <w:rPr>
          <w:rFonts w:ascii="Times New Roman" w:hAnsi="Times New Roman"/>
          <w:color w:val="000000"/>
          <w:sz w:val="24"/>
        </w:rPr>
        <w:t xml:space="preserve">        </w:t>
      </w:r>
      <w:r w:rsidR="004B0104">
        <w:rPr>
          <w:rFonts w:ascii="Times New Roman" w:hAnsi="Times New Roman"/>
          <w:color w:val="000000"/>
          <w:sz w:val="24"/>
        </w:rPr>
        <w:t>Отчетность за 2022 год сформирована с учетом положений Приказа Минфина РФ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 совместного письма Министерства финансов Российской Федерации и Федерального казначейства от 12.12.2022 №02-06-07/121658, №07-04-05/02-31108 "О дополнительных критериях по раскрытию информации при составлении и предоставлении годовой бюджетной отчетности, годовой консолидированной бухгалтерской отчетности государственных (муниципальных)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Российской Федерации за 2022год</w:t>
      </w:r>
      <w:r w:rsidR="004B0104">
        <w:rPr>
          <w:color w:val="000000"/>
          <w:sz w:val="24"/>
        </w:rPr>
        <w:t>"</w:t>
      </w:r>
      <w:r w:rsidR="004B0104">
        <w:rPr>
          <w:rFonts w:ascii="Times New Roman" w:hAnsi="Times New Roman"/>
          <w:color w:val="000000"/>
          <w:sz w:val="24"/>
        </w:rPr>
        <w:t xml:space="preserve">, Приказа Министерства финансов Калужской области от 16.12.2022 № 480, письма Министерства финансов Калужской области от 21.12.2022 г. № 07-03-23/1417-22. </w:t>
      </w:r>
    </w:p>
    <w:p w:rsidR="00DB7B54" w:rsidRDefault="004B0104">
      <w:pPr>
        <w:spacing w:before="240" w:after="240"/>
        <w:rPr>
          <w:rFonts w:ascii="Courier New" w:hAnsi="Courier New"/>
        </w:rPr>
      </w:pPr>
      <w:r>
        <w:rPr>
          <w:rFonts w:ascii="Times New Roman" w:hAnsi="Times New Roman"/>
          <w:color w:val="000000"/>
          <w:sz w:val="24"/>
        </w:rPr>
        <w:t>Ра</w:t>
      </w:r>
      <w:r>
        <w:rPr>
          <w:rFonts w:ascii="Times New Roman" w:hAnsi="Times New Roman"/>
          <w:b/>
          <w:color w:val="000000"/>
          <w:sz w:val="24"/>
        </w:rPr>
        <w:t>здел 5 «Прочие вопросы деятельности субъекта бюджетной отчетности»</w:t>
      </w:r>
    </w:p>
    <w:p w:rsidR="00DB7B54" w:rsidRDefault="004B0104">
      <w:pPr>
        <w:spacing w:before="240" w:after="240"/>
        <w:rPr>
          <w:rFonts w:ascii="Courier New" w:hAnsi="Courier New"/>
        </w:rPr>
      </w:pPr>
      <w:r>
        <w:rPr>
          <w:rFonts w:ascii="Times New Roman" w:hAnsi="Times New Roman"/>
          <w:color w:val="000000"/>
          <w:sz w:val="24"/>
        </w:rPr>
        <w:t xml:space="preserve">       Данные отчета ф.0503317G с ф. 0503152 УФК по Калужской области "Консолидированный отчет о кассовых поступлениях и выбытиях" сверены, на 01.01.2023 года по КБК 00001050201050000510 и 00001050201050000610 (Источники) имеются расхождения в сумме 334 467,14 рублей по бюджету ГП "Город Мещовск". По КБК 00121960010136476150 в сумме 324 331,77 руб., и КБК 0121960010136477150 в сумме 10 135,37 руб. отражен возврат остатков субсидий 2021 года Министерству строительства и жилищно-коммунального хозяйства Калужской области по переселению граждан из аварийного жилищного фонда. Вышеуказанные денежные средства были зачислены в отчетном периоде в бюджет городского поселения посредством нулевого реестра УФК по Калужской области с применением КБК 00120805000130000150 "Перечисления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p>
    <w:p w:rsidR="00DB7B54" w:rsidRDefault="004B0104" w:rsidP="004B0104">
      <w:pPr>
        <w:spacing w:before="240" w:after="240"/>
        <w:rPr>
          <w:rFonts w:ascii="Courier New" w:hAnsi="Courier New"/>
        </w:rPr>
      </w:pPr>
      <w:r>
        <w:rPr>
          <w:rFonts w:ascii="Times New Roman" w:hAnsi="Times New Roman"/>
          <w:color w:val="000000"/>
          <w:sz w:val="24"/>
        </w:rPr>
        <w:t>       В форме 0503317G отступлений от общепринятой консолидации показателей по КОСГУ 180-251 нет. В доходной части бюджетов Мещовского района на отчетную дату по КБК 000 1 17 01000 00 0000 180 "Невыясненные поступления" данные отсутствуют.</w:t>
      </w:r>
      <w:r>
        <w:rPr>
          <w:color w:val="000000"/>
        </w:rPr>
        <w:t> </w:t>
      </w:r>
    </w:p>
    <w:p w:rsidR="00DB7B54" w:rsidRDefault="00DB7B54"/>
    <w:tbl>
      <w:tblPr>
        <w:tblW w:w="0" w:type="auto"/>
        <w:tblInd w:w="96" w:type="dxa"/>
        <w:tblCellMar>
          <w:left w:w="0" w:type="dxa"/>
          <w:right w:w="0" w:type="dxa"/>
        </w:tblCellMar>
        <w:tblLook w:val="04A0" w:firstRow="1" w:lastRow="0" w:firstColumn="1" w:lastColumn="0" w:noHBand="0" w:noVBand="1"/>
      </w:tblPr>
      <w:tblGrid>
        <w:gridCol w:w="2002"/>
        <w:gridCol w:w="1053"/>
        <w:gridCol w:w="3255"/>
      </w:tblGrid>
      <w:tr w:rsidR="00DB7B54">
        <w:trPr>
          <w:trHeight w:val="405"/>
        </w:trPr>
        <w:tc>
          <w:tcPr>
            <w:tcW w:w="0" w:type="auto"/>
            <w:tcMar>
              <w:top w:w="0" w:type="dxa"/>
              <w:left w:w="108" w:type="dxa"/>
              <w:bottom w:w="0" w:type="dxa"/>
              <w:right w:w="108" w:type="dxa"/>
            </w:tcMar>
            <w:vAlign w:val="center"/>
          </w:tcPr>
          <w:p w:rsidR="00DB7B54" w:rsidRPr="00071C41" w:rsidRDefault="004B0104">
            <w:pPr>
              <w:rPr>
                <w:rFonts w:ascii="Times New Roman" w:hAnsi="Times New Roman"/>
                <w:b/>
                <w:sz w:val="24"/>
              </w:rPr>
            </w:pPr>
            <w:r w:rsidRPr="00071C41">
              <w:rPr>
                <w:rFonts w:ascii="Times New Roman" w:hAnsi="Times New Roman"/>
                <w:b/>
                <w:sz w:val="20"/>
              </w:rPr>
              <w:t>Руководитель</w:t>
            </w:r>
          </w:p>
        </w:tc>
        <w:tc>
          <w:tcPr>
            <w:tcW w:w="0" w:type="auto"/>
            <w:tcMar>
              <w:top w:w="0" w:type="dxa"/>
              <w:left w:w="108" w:type="dxa"/>
              <w:bottom w:w="0" w:type="dxa"/>
              <w:right w:w="108" w:type="dxa"/>
            </w:tcMar>
            <w:vAlign w:val="center"/>
          </w:tcPr>
          <w:p w:rsidR="00DB7B54" w:rsidRPr="00071C41" w:rsidRDefault="00DB7B54">
            <w:pPr>
              <w:rPr>
                <w:b/>
                <w:sz w:val="24"/>
              </w:rPr>
            </w:pPr>
          </w:p>
        </w:tc>
        <w:tc>
          <w:tcPr>
            <w:tcW w:w="0" w:type="auto"/>
            <w:tcMar>
              <w:top w:w="0" w:type="dxa"/>
              <w:left w:w="108" w:type="dxa"/>
              <w:bottom w:w="0" w:type="dxa"/>
              <w:right w:w="108" w:type="dxa"/>
            </w:tcMar>
            <w:vAlign w:val="center"/>
          </w:tcPr>
          <w:p w:rsidR="00DB7B54" w:rsidRPr="00071C41" w:rsidRDefault="004B0104">
            <w:pPr>
              <w:jc w:val="center"/>
              <w:rPr>
                <w:rFonts w:ascii="Times New Roman" w:hAnsi="Times New Roman"/>
                <w:b/>
                <w:sz w:val="24"/>
              </w:rPr>
            </w:pPr>
            <w:r w:rsidRPr="00071C41">
              <w:rPr>
                <w:rFonts w:ascii="Times New Roman" w:hAnsi="Times New Roman"/>
                <w:b/>
                <w:sz w:val="20"/>
                <w:u w:val="single"/>
              </w:rPr>
              <w:t>Анна Афанасьевна Зверева</w:t>
            </w:r>
          </w:p>
        </w:tc>
      </w:tr>
      <w:tr w:rsidR="00DB7B54">
        <w:trPr>
          <w:trHeight w:val="281"/>
        </w:trPr>
        <w:tc>
          <w:tcPr>
            <w:tcW w:w="0" w:type="auto"/>
            <w:tcMar>
              <w:top w:w="0" w:type="dxa"/>
              <w:left w:w="108" w:type="dxa"/>
              <w:bottom w:w="0" w:type="dxa"/>
              <w:right w:w="108" w:type="dxa"/>
            </w:tcMar>
            <w:vAlign w:val="center"/>
          </w:tcPr>
          <w:p w:rsidR="00DB7B54" w:rsidRPr="00071C41" w:rsidRDefault="00DB7B54">
            <w:pPr>
              <w:rPr>
                <w:b/>
                <w:sz w:val="24"/>
              </w:rPr>
            </w:pPr>
          </w:p>
        </w:tc>
        <w:tc>
          <w:tcPr>
            <w:tcW w:w="0" w:type="auto"/>
            <w:tcMar>
              <w:top w:w="0" w:type="dxa"/>
              <w:left w:w="108" w:type="dxa"/>
              <w:bottom w:w="0" w:type="dxa"/>
              <w:right w:w="108" w:type="dxa"/>
            </w:tcMar>
            <w:vAlign w:val="center"/>
          </w:tcPr>
          <w:p w:rsidR="00DB7B54" w:rsidRPr="00071C41" w:rsidRDefault="004B0104">
            <w:pPr>
              <w:jc w:val="center"/>
              <w:rPr>
                <w:rFonts w:ascii="Times New Roman" w:hAnsi="Times New Roman"/>
                <w:sz w:val="24"/>
              </w:rPr>
            </w:pPr>
            <w:r w:rsidRPr="00071C41">
              <w:rPr>
                <w:rFonts w:ascii="Times New Roman" w:hAnsi="Times New Roman"/>
                <w:sz w:val="20"/>
              </w:rPr>
              <w:t>(подпись)</w:t>
            </w:r>
          </w:p>
        </w:tc>
        <w:tc>
          <w:tcPr>
            <w:tcW w:w="0" w:type="auto"/>
            <w:tcMar>
              <w:top w:w="0" w:type="dxa"/>
              <w:left w:w="108" w:type="dxa"/>
              <w:bottom w:w="0" w:type="dxa"/>
              <w:right w:w="108" w:type="dxa"/>
            </w:tcMar>
            <w:vAlign w:val="center"/>
          </w:tcPr>
          <w:p w:rsidR="00DB7B54" w:rsidRPr="00071C41" w:rsidRDefault="004B0104">
            <w:pPr>
              <w:jc w:val="center"/>
              <w:rPr>
                <w:rFonts w:ascii="Times New Roman" w:hAnsi="Times New Roman"/>
                <w:sz w:val="24"/>
              </w:rPr>
            </w:pPr>
            <w:r w:rsidRPr="00071C41">
              <w:rPr>
                <w:rFonts w:ascii="Times New Roman" w:hAnsi="Times New Roman"/>
                <w:sz w:val="20"/>
              </w:rPr>
              <w:t>(расшифровка подписи)</w:t>
            </w:r>
          </w:p>
        </w:tc>
      </w:tr>
      <w:tr w:rsidR="002C346A">
        <w:trPr>
          <w:trHeight w:val="281"/>
        </w:trPr>
        <w:tc>
          <w:tcPr>
            <w:tcW w:w="0" w:type="auto"/>
            <w:tcMar>
              <w:top w:w="0" w:type="dxa"/>
              <w:left w:w="108" w:type="dxa"/>
              <w:bottom w:w="0" w:type="dxa"/>
              <w:right w:w="108" w:type="dxa"/>
            </w:tcMar>
            <w:vAlign w:val="center"/>
          </w:tcPr>
          <w:p w:rsidR="002C346A" w:rsidRPr="00071C41" w:rsidRDefault="002C346A" w:rsidP="002C346A">
            <w:pPr>
              <w:rPr>
                <w:rFonts w:ascii="Times New Roman" w:hAnsi="Times New Roman"/>
                <w:b/>
                <w:sz w:val="20"/>
              </w:rPr>
            </w:pPr>
          </w:p>
          <w:p w:rsidR="002C346A" w:rsidRPr="00071C41" w:rsidRDefault="002C346A" w:rsidP="002C346A">
            <w:pPr>
              <w:rPr>
                <w:rFonts w:ascii="Times New Roman" w:hAnsi="Times New Roman"/>
                <w:b/>
                <w:sz w:val="20"/>
              </w:rPr>
            </w:pPr>
          </w:p>
          <w:p w:rsidR="002C346A" w:rsidRPr="00071C41" w:rsidRDefault="002C346A" w:rsidP="002C346A">
            <w:pPr>
              <w:rPr>
                <w:rFonts w:ascii="Times New Roman" w:hAnsi="Times New Roman"/>
                <w:b/>
                <w:sz w:val="24"/>
              </w:rPr>
            </w:pPr>
            <w:r w:rsidRPr="00071C41">
              <w:rPr>
                <w:rFonts w:ascii="Times New Roman" w:hAnsi="Times New Roman"/>
                <w:b/>
                <w:sz w:val="20"/>
              </w:rPr>
              <w:t>Главный бухгалтер</w:t>
            </w:r>
          </w:p>
        </w:tc>
        <w:tc>
          <w:tcPr>
            <w:tcW w:w="0" w:type="auto"/>
            <w:tcMar>
              <w:top w:w="0" w:type="dxa"/>
              <w:left w:w="108" w:type="dxa"/>
              <w:bottom w:w="0" w:type="dxa"/>
              <w:right w:w="108" w:type="dxa"/>
            </w:tcMar>
            <w:vAlign w:val="center"/>
          </w:tcPr>
          <w:p w:rsidR="002C346A" w:rsidRPr="00071C41" w:rsidRDefault="002C346A" w:rsidP="002C346A">
            <w:pPr>
              <w:rPr>
                <w:b/>
                <w:sz w:val="24"/>
              </w:rPr>
            </w:pPr>
          </w:p>
        </w:tc>
        <w:tc>
          <w:tcPr>
            <w:tcW w:w="0" w:type="auto"/>
            <w:tcMar>
              <w:top w:w="0" w:type="dxa"/>
              <w:left w:w="108" w:type="dxa"/>
              <w:bottom w:w="0" w:type="dxa"/>
              <w:right w:w="108" w:type="dxa"/>
            </w:tcMar>
            <w:vAlign w:val="center"/>
          </w:tcPr>
          <w:p w:rsidR="002C346A" w:rsidRPr="00071C41" w:rsidRDefault="002C346A" w:rsidP="002C346A">
            <w:pPr>
              <w:jc w:val="center"/>
              <w:rPr>
                <w:rFonts w:ascii="Times New Roman" w:hAnsi="Times New Roman"/>
                <w:b/>
                <w:sz w:val="24"/>
              </w:rPr>
            </w:pPr>
            <w:r w:rsidRPr="00071C41">
              <w:rPr>
                <w:rFonts w:ascii="Times New Roman" w:hAnsi="Times New Roman"/>
                <w:b/>
                <w:sz w:val="20"/>
                <w:u w:val="single"/>
              </w:rPr>
              <w:t>Наталья Владимировна Мурзина</w:t>
            </w:r>
          </w:p>
        </w:tc>
      </w:tr>
      <w:tr w:rsidR="002C346A">
        <w:trPr>
          <w:trHeight w:val="281"/>
        </w:trPr>
        <w:tc>
          <w:tcPr>
            <w:tcW w:w="0" w:type="auto"/>
            <w:tcMar>
              <w:top w:w="0" w:type="dxa"/>
              <w:left w:w="108" w:type="dxa"/>
              <w:bottom w:w="0" w:type="dxa"/>
              <w:right w:w="108" w:type="dxa"/>
            </w:tcMar>
            <w:vAlign w:val="center"/>
          </w:tcPr>
          <w:p w:rsidR="002C346A" w:rsidRDefault="002C346A" w:rsidP="002C346A">
            <w:pPr>
              <w:rPr>
                <w:sz w:val="24"/>
              </w:rPr>
            </w:pPr>
          </w:p>
        </w:tc>
        <w:tc>
          <w:tcPr>
            <w:tcW w:w="0" w:type="auto"/>
            <w:tcMar>
              <w:top w:w="0" w:type="dxa"/>
              <w:left w:w="108" w:type="dxa"/>
              <w:bottom w:w="0" w:type="dxa"/>
              <w:right w:w="108" w:type="dxa"/>
            </w:tcMar>
            <w:vAlign w:val="center"/>
          </w:tcPr>
          <w:p w:rsidR="002C346A" w:rsidRDefault="002C346A" w:rsidP="002C346A">
            <w:pPr>
              <w:jc w:val="center"/>
              <w:rPr>
                <w:rFonts w:ascii="Times New Roman" w:hAnsi="Times New Roman"/>
                <w:sz w:val="24"/>
              </w:rPr>
            </w:pPr>
            <w:r>
              <w:rPr>
                <w:rFonts w:ascii="Times New Roman" w:hAnsi="Times New Roman"/>
                <w:sz w:val="20"/>
              </w:rPr>
              <w:t>(подпись)</w:t>
            </w:r>
          </w:p>
        </w:tc>
        <w:tc>
          <w:tcPr>
            <w:tcW w:w="0" w:type="auto"/>
            <w:tcMar>
              <w:top w:w="0" w:type="dxa"/>
              <w:left w:w="108" w:type="dxa"/>
              <w:bottom w:w="0" w:type="dxa"/>
              <w:right w:w="108" w:type="dxa"/>
            </w:tcMar>
            <w:vAlign w:val="center"/>
          </w:tcPr>
          <w:p w:rsidR="002C346A" w:rsidRDefault="002C346A" w:rsidP="002C346A">
            <w:pPr>
              <w:jc w:val="center"/>
              <w:rPr>
                <w:rFonts w:ascii="Times New Roman" w:hAnsi="Times New Roman"/>
                <w:sz w:val="24"/>
              </w:rPr>
            </w:pPr>
            <w:r>
              <w:rPr>
                <w:rFonts w:ascii="Times New Roman" w:hAnsi="Times New Roman"/>
                <w:sz w:val="20"/>
              </w:rPr>
              <w:t>(расшифровка подписи)</w:t>
            </w:r>
          </w:p>
        </w:tc>
      </w:tr>
      <w:tr w:rsidR="002C346A">
        <w:trPr>
          <w:trHeight w:val="281"/>
        </w:trPr>
        <w:tc>
          <w:tcPr>
            <w:tcW w:w="0" w:type="auto"/>
            <w:gridSpan w:val="3"/>
            <w:noWrap/>
            <w:tcMar>
              <w:top w:w="0" w:type="dxa"/>
              <w:left w:w="108" w:type="dxa"/>
              <w:bottom w:w="0" w:type="dxa"/>
              <w:right w:w="108" w:type="dxa"/>
            </w:tcMar>
            <w:vAlign w:val="bottom"/>
          </w:tcPr>
          <w:p w:rsidR="002C346A" w:rsidRDefault="002C346A" w:rsidP="002C346A">
            <w:pPr>
              <w:rPr>
                <w:rFonts w:ascii="Times New Roman" w:hAnsi="Times New Roman"/>
                <w:sz w:val="24"/>
              </w:rPr>
            </w:pPr>
          </w:p>
        </w:tc>
      </w:tr>
      <w:tr w:rsidR="002C346A">
        <w:trPr>
          <w:trHeight w:val="281"/>
        </w:trPr>
        <w:tc>
          <w:tcPr>
            <w:tcW w:w="0" w:type="auto"/>
            <w:gridSpan w:val="3"/>
            <w:noWrap/>
            <w:tcMar>
              <w:top w:w="0" w:type="dxa"/>
              <w:left w:w="108" w:type="dxa"/>
              <w:bottom w:w="0" w:type="dxa"/>
              <w:right w:w="108" w:type="dxa"/>
            </w:tcMar>
            <w:vAlign w:val="bottom"/>
          </w:tcPr>
          <w:p w:rsidR="002C346A" w:rsidRDefault="002C346A" w:rsidP="002C346A">
            <w:pPr>
              <w:rPr>
                <w:rFonts w:ascii="Times New Roman" w:hAnsi="Times New Roman"/>
                <w:sz w:val="24"/>
              </w:rPr>
            </w:pPr>
          </w:p>
        </w:tc>
      </w:tr>
    </w:tbl>
    <w:p w:rsidR="00DB7B54" w:rsidRPr="00071C41" w:rsidRDefault="00BD03FF" w:rsidP="00071C41">
      <w:r>
        <w:t>20</w:t>
      </w:r>
      <w:r w:rsidR="00071C41">
        <w:rPr>
          <w:lang w:val="en-US"/>
        </w:rPr>
        <w:t xml:space="preserve"> февраля 2023 г</w:t>
      </w:r>
      <w:r>
        <w:t xml:space="preserve">ода                     </w:t>
      </w:r>
      <w:r>
        <w:rPr>
          <w:noProof/>
          <w:lang w:val="en-US"/>
        </w:rPr>
        <w:drawing>
          <wp:inline distT="0" distB="0" distL="0" distR="0" wp14:anchorId="5F798791">
            <wp:extent cx="2633980" cy="786765"/>
            <wp:effectExtent l="0" t="0" r="0" b="0"/>
            <wp:docPr id="14725646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33980" cy="786765"/>
                    </a:xfrm>
                    <a:prstGeom prst="rect">
                      <a:avLst/>
                    </a:prstGeom>
                    <a:noFill/>
                  </pic:spPr>
                </pic:pic>
              </a:graphicData>
            </a:graphic>
          </wp:inline>
        </w:drawing>
      </w:r>
    </w:p>
    <w:sectPr w:rsidR="00DB7B54" w:rsidRPr="00071C41" w:rsidSect="00BD03FF">
      <w:pgSz w:w="12240" w:h="15840"/>
      <w:pgMar w:top="510" w:right="737" w:bottom="113" w:left="907"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B54"/>
    <w:rsid w:val="00071C41"/>
    <w:rsid w:val="001B6B34"/>
    <w:rsid w:val="002C346A"/>
    <w:rsid w:val="003068BC"/>
    <w:rsid w:val="004B0104"/>
    <w:rsid w:val="00A357CA"/>
    <w:rsid w:val="00BD03FF"/>
    <w:rsid w:val="00CB60D8"/>
    <w:rsid w:val="00DB7B54"/>
    <w:rsid w:val="00E0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C746D8"/>
  <w15:docId w15:val="{F211F24F-EFFD-473E-BDE3-2CBF30128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2110</Words>
  <Characters>12033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ФЕДОР-ПК\ФЕДОР</dc:creator>
  <cp:lastModifiedBy>Meshovsk15</cp:lastModifiedBy>
  <cp:revision>3</cp:revision>
  <cp:lastPrinted>2023-02-22T04:59:00Z</cp:lastPrinted>
  <dcterms:created xsi:type="dcterms:W3CDTF">2023-02-22T05:08:00Z</dcterms:created>
  <dcterms:modified xsi:type="dcterms:W3CDTF">2023-02-28T09:41:00Z</dcterms:modified>
</cp:coreProperties>
</file>