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10772"/>
      </w:tblGrid>
      <w:tr w:rsidR="0044248B">
        <w:tc>
          <w:tcPr>
            <w:tcW w:w="10772" w:type="dxa"/>
            <w:tcBorders>
              <w:top w:val="nil"/>
              <w:left w:val="nil"/>
              <w:bottom w:val="nil"/>
              <w:right w:val="nil"/>
            </w:tcBorders>
            <w:tcMar>
              <w:top w:w="0" w:type="dxa"/>
              <w:left w:w="108" w:type="dxa"/>
              <w:bottom w:w="0" w:type="dxa"/>
              <w:right w:w="108" w:type="dxa"/>
            </w:tcMar>
            <w:hideMark/>
          </w:tcPr>
          <w:p w:rsidR="0044248B" w:rsidRDefault="009A6E11">
            <w:pPr>
              <w:jc w:val="right"/>
              <w:rPr>
                <w:rFonts w:ascii="Times New Roman" w:eastAsia="Times New Roman" w:hAnsi="Times New Roman" w:cs="Times New Roman"/>
                <w:sz w:val="24"/>
              </w:rPr>
            </w:pPr>
            <w:r>
              <w:rPr>
                <w:rFonts w:ascii="Times New Roman" w:eastAsia="Times New Roman" w:hAnsi="Times New Roman" w:cs="Times New Roman"/>
                <w:sz w:val="20"/>
                <w:szCs w:val="20"/>
              </w:rPr>
              <w:t xml:space="preserve">        </w:t>
            </w:r>
            <w:r w:rsidR="009469CC">
              <w:rPr>
                <w:rFonts w:ascii="Times New Roman" w:eastAsia="Times New Roman" w:hAnsi="Times New Roman" w:cs="Times New Roman"/>
                <w:sz w:val="20"/>
                <w:szCs w:val="20"/>
              </w:rPr>
              <w:t xml:space="preserve">Утв. приказом Минфина РФ </w:t>
            </w:r>
            <w:r w:rsidR="009469CC">
              <w:rPr>
                <w:rFonts w:ascii="Times New Roman" w:eastAsia="Times New Roman" w:hAnsi="Times New Roman" w:cs="Times New Roman"/>
                <w:sz w:val="20"/>
                <w:szCs w:val="20"/>
              </w:rPr>
              <w:br/>
              <w:t xml:space="preserve">от 28 декабря 2010 г. № 191н </w:t>
            </w:r>
            <w:r w:rsidR="009469CC">
              <w:rPr>
                <w:rFonts w:ascii="Times New Roman" w:eastAsia="Times New Roman" w:hAnsi="Times New Roman" w:cs="Times New Roman"/>
                <w:sz w:val="20"/>
                <w:szCs w:val="20"/>
              </w:rPr>
              <w:br/>
            </w:r>
            <w:r w:rsidR="009469CC">
              <w:rPr>
                <w:rFonts w:ascii="Times New Roman" w:eastAsia="Times New Roman" w:hAnsi="Times New Roman" w:cs="Times New Roman"/>
                <w:i/>
                <w:sz w:val="20"/>
                <w:szCs w:val="20"/>
              </w:rPr>
              <w:t xml:space="preserve">(в ред. от </w:t>
            </w:r>
            <w:r w:rsidR="008209FE">
              <w:rPr>
                <w:rFonts w:ascii="Times New Roman" w:hAnsi="Times New Roman"/>
                <w:i/>
                <w:sz w:val="20"/>
              </w:rPr>
              <w:t xml:space="preserve">14 июня 2022 </w:t>
            </w:r>
            <w:r w:rsidR="009469CC">
              <w:rPr>
                <w:rFonts w:ascii="Times New Roman" w:eastAsia="Times New Roman" w:hAnsi="Times New Roman" w:cs="Times New Roman"/>
                <w:i/>
                <w:sz w:val="20"/>
                <w:szCs w:val="20"/>
              </w:rPr>
              <w:t>г.)</w:t>
            </w:r>
          </w:p>
        </w:tc>
      </w:tr>
    </w:tbl>
    <w:p w:rsidR="0044248B" w:rsidRDefault="009469CC">
      <w:pPr>
        <w:rPr>
          <w:rFonts w:ascii="Times New Roman" w:eastAsia="Times New Roman" w:hAnsi="Times New Roman" w:cs="Times New Roman"/>
          <w:sz w:val="24"/>
        </w:rPr>
      </w:pPr>
      <w:r>
        <w:rPr>
          <w:rFonts w:ascii="Times New Roman" w:eastAsia="Times New Roman" w:hAnsi="Times New Roman" w:cs="Times New Roman"/>
          <w:vanish/>
          <w:sz w:val="24"/>
          <w:szCs w:val="24"/>
        </w:rPr>
        <w:t> </w:t>
      </w:r>
    </w:p>
    <w:tbl>
      <w:tblPr>
        <w:tblW w:w="13198"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6139"/>
        <w:gridCol w:w="230"/>
        <w:gridCol w:w="4469"/>
        <w:gridCol w:w="2410"/>
      </w:tblGrid>
      <w:tr w:rsidR="0044248B" w:rsidTr="009A6E11">
        <w:trPr>
          <w:trHeight w:val="270"/>
        </w:trPr>
        <w:tc>
          <w:tcPr>
            <w:tcW w:w="6091" w:type="dxa"/>
            <w:noWrap/>
            <w:tcMar>
              <w:top w:w="0" w:type="dxa"/>
              <w:left w:w="108" w:type="dxa"/>
              <w:bottom w:w="0" w:type="dxa"/>
              <w:right w:w="108" w:type="dxa"/>
            </w:tcMar>
            <w:vAlign w:val="bottom"/>
            <w:hideMark/>
          </w:tcPr>
          <w:p w:rsidR="0044248B" w:rsidRDefault="009469CC">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ПОЯСНИТЕЛЬНАЯ ЗАПИСКА</w:t>
            </w:r>
          </w:p>
        </w:tc>
        <w:tc>
          <w:tcPr>
            <w:tcW w:w="228" w:type="dxa"/>
            <w:noWrap/>
            <w:tcMar>
              <w:top w:w="0" w:type="dxa"/>
              <w:left w:w="108" w:type="dxa"/>
              <w:bottom w:w="0" w:type="dxa"/>
              <w:right w:w="108" w:type="dxa"/>
            </w:tcMar>
            <w:vAlign w:val="bottom"/>
            <w:hideMark/>
          </w:tcPr>
          <w:p w:rsidR="0044248B" w:rsidRDefault="0044248B">
            <w:pPr>
              <w:rPr>
                <w:sz w:val="24"/>
              </w:rPr>
            </w:pPr>
          </w:p>
        </w:tc>
        <w:tc>
          <w:tcPr>
            <w:tcW w:w="4469" w:type="dxa"/>
            <w:noWrap/>
            <w:tcMar>
              <w:top w:w="0" w:type="dxa"/>
              <w:left w:w="108" w:type="dxa"/>
              <w:bottom w:w="0" w:type="dxa"/>
              <w:right w:w="108" w:type="dxa"/>
            </w:tcMar>
            <w:vAlign w:val="bottom"/>
            <w:hideMark/>
          </w:tcPr>
          <w:p w:rsidR="0044248B" w:rsidRDefault="0044248B">
            <w:pPr>
              <w:rPr>
                <w:sz w:val="24"/>
              </w:rPr>
            </w:pPr>
          </w:p>
        </w:tc>
        <w:tc>
          <w:tcPr>
            <w:tcW w:w="2410" w:type="dxa"/>
            <w:noWrap/>
            <w:tcMar>
              <w:top w:w="0" w:type="dxa"/>
              <w:left w:w="108" w:type="dxa"/>
              <w:bottom w:w="0" w:type="dxa"/>
              <w:right w:w="108" w:type="dxa"/>
            </w:tcMar>
            <w:vAlign w:val="bottom"/>
            <w:hideMark/>
          </w:tcPr>
          <w:p w:rsidR="0044248B" w:rsidRDefault="0044248B">
            <w:pPr>
              <w:rPr>
                <w:sz w:val="24"/>
              </w:rPr>
            </w:pPr>
          </w:p>
        </w:tc>
      </w:tr>
      <w:tr w:rsidR="0044248B" w:rsidTr="009A6E11">
        <w:trPr>
          <w:trHeight w:val="255"/>
        </w:trPr>
        <w:tc>
          <w:tcPr>
            <w:tcW w:w="6091" w:type="dxa"/>
            <w:noWrap/>
            <w:tcMar>
              <w:top w:w="0" w:type="dxa"/>
              <w:left w:w="108" w:type="dxa"/>
              <w:bottom w:w="0" w:type="dxa"/>
              <w:right w:w="108" w:type="dxa"/>
            </w:tcMar>
            <w:vAlign w:val="bottom"/>
            <w:hideMark/>
          </w:tcPr>
          <w:p w:rsidR="0044248B" w:rsidRDefault="0044248B">
            <w:pPr>
              <w:rPr>
                <w:sz w:val="24"/>
              </w:rPr>
            </w:pPr>
          </w:p>
        </w:tc>
        <w:tc>
          <w:tcPr>
            <w:tcW w:w="228" w:type="dxa"/>
            <w:noWrap/>
            <w:tcMar>
              <w:top w:w="0" w:type="dxa"/>
              <w:left w:w="108" w:type="dxa"/>
              <w:bottom w:w="0" w:type="dxa"/>
              <w:right w:w="108" w:type="dxa"/>
            </w:tcMar>
            <w:vAlign w:val="bottom"/>
            <w:hideMark/>
          </w:tcPr>
          <w:p w:rsidR="0044248B" w:rsidRDefault="0044248B">
            <w:pPr>
              <w:rPr>
                <w:sz w:val="24"/>
              </w:rPr>
            </w:pPr>
          </w:p>
        </w:tc>
        <w:tc>
          <w:tcPr>
            <w:tcW w:w="4469" w:type="dxa"/>
            <w:noWrap/>
            <w:tcMar>
              <w:top w:w="0" w:type="dxa"/>
              <w:left w:w="108" w:type="dxa"/>
              <w:bottom w:w="0" w:type="dxa"/>
              <w:right w:w="108" w:type="dxa"/>
            </w:tcMar>
            <w:vAlign w:val="bottom"/>
            <w:hideMark/>
          </w:tcPr>
          <w:p w:rsidR="0044248B" w:rsidRDefault="0044248B">
            <w:pPr>
              <w:rPr>
                <w:sz w:val="24"/>
              </w:rPr>
            </w:pPr>
          </w:p>
        </w:tc>
        <w:tc>
          <w:tcPr>
            <w:tcW w:w="241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44248B" w:rsidRDefault="009469CC">
            <w:pPr>
              <w:jc w:val="center"/>
              <w:rPr>
                <w:rFonts w:ascii="Times New Roman" w:eastAsia="Times New Roman" w:hAnsi="Times New Roman" w:cs="Times New Roman"/>
                <w:sz w:val="24"/>
              </w:rPr>
            </w:pPr>
            <w:r>
              <w:rPr>
                <w:rFonts w:ascii="Times New Roman" w:eastAsia="Times New Roman" w:hAnsi="Times New Roman" w:cs="Times New Roman"/>
                <w:sz w:val="18"/>
                <w:szCs w:val="18"/>
              </w:rPr>
              <w:t>КОДЫ</w:t>
            </w:r>
          </w:p>
        </w:tc>
      </w:tr>
      <w:tr w:rsidR="0044248B" w:rsidTr="009A6E11">
        <w:trPr>
          <w:trHeight w:val="282"/>
        </w:trPr>
        <w:tc>
          <w:tcPr>
            <w:tcW w:w="0" w:type="auto"/>
            <w:noWrap/>
            <w:tcMar>
              <w:top w:w="0" w:type="dxa"/>
              <w:left w:w="108" w:type="dxa"/>
              <w:bottom w:w="0" w:type="dxa"/>
              <w:right w:w="108" w:type="dxa"/>
            </w:tcMar>
            <w:vAlign w:val="bottom"/>
            <w:hideMark/>
          </w:tcPr>
          <w:p w:rsidR="0044248B" w:rsidRDefault="0044248B">
            <w:pPr>
              <w:rPr>
                <w:sz w:val="24"/>
              </w:rPr>
            </w:pPr>
          </w:p>
        </w:tc>
        <w:tc>
          <w:tcPr>
            <w:tcW w:w="4697" w:type="dxa"/>
            <w:gridSpan w:val="2"/>
            <w:noWrap/>
            <w:tcMar>
              <w:top w:w="0" w:type="dxa"/>
              <w:left w:w="108" w:type="dxa"/>
              <w:bottom w:w="0" w:type="dxa"/>
              <w:right w:w="108" w:type="dxa"/>
            </w:tcMar>
            <w:vAlign w:val="bottom"/>
            <w:hideMark/>
          </w:tcPr>
          <w:p w:rsidR="0044248B" w:rsidRDefault="009469CC">
            <w:pPr>
              <w:jc w:val="right"/>
              <w:rPr>
                <w:rFonts w:ascii="Times New Roman" w:eastAsia="Times New Roman" w:hAnsi="Times New Roman" w:cs="Times New Roman"/>
                <w:sz w:val="24"/>
              </w:rPr>
            </w:pPr>
            <w:r>
              <w:rPr>
                <w:rFonts w:ascii="Times New Roman" w:eastAsia="Times New Roman" w:hAnsi="Times New Roman" w:cs="Times New Roman"/>
                <w:sz w:val="18"/>
                <w:szCs w:val="18"/>
              </w:rPr>
              <w:t>Форма по ОКУД</w:t>
            </w:r>
          </w:p>
        </w:tc>
        <w:tc>
          <w:tcPr>
            <w:tcW w:w="241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44248B" w:rsidRDefault="009469CC">
            <w:pPr>
              <w:jc w:val="center"/>
              <w:rPr>
                <w:rFonts w:ascii="Times New Roman" w:eastAsia="Times New Roman" w:hAnsi="Times New Roman" w:cs="Times New Roman"/>
                <w:sz w:val="24"/>
              </w:rPr>
            </w:pPr>
            <w:r>
              <w:rPr>
                <w:rFonts w:ascii="Times New Roman" w:eastAsia="Times New Roman" w:hAnsi="Times New Roman" w:cs="Times New Roman"/>
                <w:sz w:val="18"/>
                <w:szCs w:val="18"/>
              </w:rPr>
              <w:t>0503160</w:t>
            </w:r>
          </w:p>
        </w:tc>
      </w:tr>
      <w:tr w:rsidR="0044248B" w:rsidTr="009A6E11">
        <w:trPr>
          <w:trHeight w:val="282"/>
        </w:trPr>
        <w:tc>
          <w:tcPr>
            <w:tcW w:w="0" w:type="auto"/>
            <w:gridSpan w:val="2"/>
            <w:noWrap/>
            <w:tcMar>
              <w:top w:w="0" w:type="dxa"/>
              <w:left w:w="108" w:type="dxa"/>
              <w:bottom w:w="0" w:type="dxa"/>
              <w:right w:w="108" w:type="dxa"/>
            </w:tcMar>
            <w:vAlign w:val="bottom"/>
            <w:hideMark/>
          </w:tcPr>
          <w:p w:rsidR="0044248B" w:rsidRDefault="009469CC">
            <w:pPr>
              <w:jc w:val="center"/>
              <w:rPr>
                <w:rFonts w:ascii="Times New Roman" w:eastAsia="Times New Roman" w:hAnsi="Times New Roman" w:cs="Times New Roman"/>
                <w:sz w:val="24"/>
              </w:rPr>
            </w:pPr>
            <w:r>
              <w:rPr>
                <w:rFonts w:ascii="Times New Roman" w:eastAsia="Times New Roman" w:hAnsi="Times New Roman" w:cs="Times New Roman"/>
                <w:sz w:val="18"/>
                <w:szCs w:val="18"/>
              </w:rPr>
              <w:t xml:space="preserve">                          </w:t>
            </w:r>
            <w:r w:rsidRPr="009469CC">
              <w:rPr>
                <w:rFonts w:ascii="Times New Roman" w:eastAsia="Times New Roman" w:hAnsi="Times New Roman" w:cs="Times New Roman"/>
                <w:b/>
                <w:bCs/>
                <w:sz w:val="24"/>
                <w:szCs w:val="24"/>
              </w:rPr>
              <w:t>на   1 января 2023 г</w:t>
            </w:r>
            <w:r>
              <w:rPr>
                <w:rFonts w:ascii="Times New Roman" w:eastAsia="Times New Roman" w:hAnsi="Times New Roman" w:cs="Times New Roman"/>
                <w:sz w:val="18"/>
                <w:szCs w:val="18"/>
              </w:rPr>
              <w:t>.</w:t>
            </w:r>
          </w:p>
        </w:tc>
        <w:tc>
          <w:tcPr>
            <w:tcW w:w="4469" w:type="dxa"/>
            <w:noWrap/>
            <w:tcMar>
              <w:top w:w="0" w:type="dxa"/>
              <w:left w:w="108" w:type="dxa"/>
              <w:bottom w:w="0" w:type="dxa"/>
              <w:right w:w="108" w:type="dxa"/>
            </w:tcMar>
            <w:vAlign w:val="bottom"/>
            <w:hideMark/>
          </w:tcPr>
          <w:p w:rsidR="0044248B" w:rsidRDefault="009469CC">
            <w:pPr>
              <w:jc w:val="right"/>
              <w:rPr>
                <w:rFonts w:ascii="Times New Roman" w:eastAsia="Times New Roman" w:hAnsi="Times New Roman" w:cs="Times New Roman"/>
                <w:sz w:val="24"/>
              </w:rPr>
            </w:pPr>
            <w:r>
              <w:rPr>
                <w:rFonts w:ascii="Times New Roman" w:eastAsia="Times New Roman" w:hAnsi="Times New Roman" w:cs="Times New Roman"/>
                <w:sz w:val="18"/>
                <w:szCs w:val="18"/>
              </w:rPr>
              <w:t> Дата</w:t>
            </w:r>
          </w:p>
        </w:tc>
        <w:tc>
          <w:tcPr>
            <w:tcW w:w="241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44248B" w:rsidRDefault="009469CC">
            <w:pPr>
              <w:jc w:val="center"/>
              <w:rPr>
                <w:rFonts w:ascii="Times New Roman" w:eastAsia="Times New Roman" w:hAnsi="Times New Roman" w:cs="Times New Roman"/>
                <w:sz w:val="24"/>
              </w:rPr>
            </w:pPr>
            <w:r>
              <w:rPr>
                <w:rFonts w:ascii="Times New Roman" w:eastAsia="Times New Roman" w:hAnsi="Times New Roman" w:cs="Times New Roman"/>
                <w:sz w:val="18"/>
                <w:szCs w:val="18"/>
              </w:rPr>
              <w:t>01.01.2023</w:t>
            </w:r>
          </w:p>
        </w:tc>
      </w:tr>
      <w:tr w:rsidR="0044248B" w:rsidTr="009A6E11">
        <w:trPr>
          <w:trHeight w:val="300"/>
        </w:trPr>
        <w:tc>
          <w:tcPr>
            <w:tcW w:w="6091" w:type="dxa"/>
            <w:noWrap/>
            <w:tcMar>
              <w:top w:w="0" w:type="dxa"/>
              <w:left w:w="108" w:type="dxa"/>
              <w:bottom w:w="0" w:type="dxa"/>
              <w:right w:w="108" w:type="dxa"/>
            </w:tcMar>
            <w:vAlign w:val="bottom"/>
            <w:hideMark/>
          </w:tcPr>
          <w:p w:rsidR="0044248B" w:rsidRDefault="009469CC">
            <w:pPr>
              <w:rPr>
                <w:rFonts w:ascii="Times New Roman" w:eastAsia="Times New Roman" w:hAnsi="Times New Roman" w:cs="Times New Roman"/>
                <w:sz w:val="24"/>
              </w:rPr>
            </w:pPr>
            <w:r>
              <w:rPr>
                <w:rFonts w:ascii="Times New Roman" w:eastAsia="Times New Roman" w:hAnsi="Times New Roman" w:cs="Times New Roman"/>
                <w:sz w:val="18"/>
                <w:szCs w:val="18"/>
              </w:rPr>
              <w:t>Главный распорядитель, распорядитель,</w:t>
            </w:r>
          </w:p>
        </w:tc>
        <w:tc>
          <w:tcPr>
            <w:tcW w:w="228" w:type="dxa"/>
            <w:noWrap/>
            <w:tcMar>
              <w:top w:w="0" w:type="dxa"/>
              <w:left w:w="108" w:type="dxa"/>
              <w:bottom w:w="0" w:type="dxa"/>
              <w:right w:w="108" w:type="dxa"/>
            </w:tcMar>
            <w:vAlign w:val="bottom"/>
            <w:hideMark/>
          </w:tcPr>
          <w:p w:rsidR="0044248B" w:rsidRDefault="0044248B">
            <w:pPr>
              <w:rPr>
                <w:sz w:val="24"/>
              </w:rPr>
            </w:pPr>
          </w:p>
        </w:tc>
        <w:tc>
          <w:tcPr>
            <w:tcW w:w="4469" w:type="dxa"/>
            <w:noWrap/>
            <w:tcMar>
              <w:top w:w="0" w:type="dxa"/>
              <w:left w:w="108" w:type="dxa"/>
              <w:bottom w:w="0" w:type="dxa"/>
              <w:right w:w="108" w:type="dxa"/>
            </w:tcMar>
            <w:vAlign w:val="bottom"/>
            <w:hideMark/>
          </w:tcPr>
          <w:p w:rsidR="0044248B" w:rsidRDefault="0044248B">
            <w:pPr>
              <w:rPr>
                <w:sz w:val="24"/>
              </w:rPr>
            </w:pPr>
          </w:p>
        </w:tc>
        <w:tc>
          <w:tcPr>
            <w:tcW w:w="2410"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44248B" w:rsidRDefault="0044248B">
            <w:pPr>
              <w:rPr>
                <w:sz w:val="24"/>
              </w:rPr>
            </w:pPr>
          </w:p>
        </w:tc>
      </w:tr>
      <w:tr w:rsidR="0044248B" w:rsidTr="009A6E11">
        <w:trPr>
          <w:trHeight w:val="195"/>
        </w:trPr>
        <w:tc>
          <w:tcPr>
            <w:tcW w:w="6091" w:type="dxa"/>
            <w:noWrap/>
            <w:tcMar>
              <w:top w:w="0" w:type="dxa"/>
              <w:left w:w="108" w:type="dxa"/>
              <w:bottom w:w="0" w:type="dxa"/>
              <w:right w:w="108" w:type="dxa"/>
            </w:tcMar>
            <w:vAlign w:val="bottom"/>
            <w:hideMark/>
          </w:tcPr>
          <w:p w:rsidR="0044248B" w:rsidRDefault="009469CC">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получатель бюджетных средств, главный </w:t>
            </w:r>
            <w:proofErr w:type="gramStart"/>
            <w:r>
              <w:rPr>
                <w:rFonts w:ascii="Times New Roman" w:eastAsia="Times New Roman" w:hAnsi="Times New Roman" w:cs="Times New Roman"/>
                <w:sz w:val="18"/>
                <w:szCs w:val="18"/>
              </w:rPr>
              <w:t>администратор,   </w:t>
            </w:r>
            <w:proofErr w:type="gramEnd"/>
          </w:p>
        </w:tc>
        <w:tc>
          <w:tcPr>
            <w:tcW w:w="228" w:type="dxa"/>
            <w:noWrap/>
            <w:tcMar>
              <w:top w:w="0" w:type="dxa"/>
              <w:left w:w="108" w:type="dxa"/>
              <w:bottom w:w="0" w:type="dxa"/>
              <w:right w:w="108" w:type="dxa"/>
            </w:tcMar>
            <w:vAlign w:val="bottom"/>
            <w:hideMark/>
          </w:tcPr>
          <w:p w:rsidR="0044248B" w:rsidRDefault="0044248B">
            <w:pPr>
              <w:rPr>
                <w:sz w:val="20"/>
              </w:rPr>
            </w:pPr>
          </w:p>
        </w:tc>
        <w:tc>
          <w:tcPr>
            <w:tcW w:w="4469" w:type="dxa"/>
            <w:noWrap/>
            <w:tcMar>
              <w:top w:w="0" w:type="dxa"/>
              <w:left w:w="108" w:type="dxa"/>
              <w:bottom w:w="0" w:type="dxa"/>
              <w:right w:w="108" w:type="dxa"/>
            </w:tcMar>
            <w:vAlign w:val="bottom"/>
            <w:hideMark/>
          </w:tcPr>
          <w:p w:rsidR="0044248B" w:rsidRDefault="0044248B">
            <w:pPr>
              <w:rPr>
                <w:sz w:val="20"/>
              </w:rPr>
            </w:pPr>
          </w:p>
        </w:tc>
        <w:tc>
          <w:tcPr>
            <w:tcW w:w="2410"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9469CC" w:rsidRDefault="009469CC" w:rsidP="009469CC">
            <w:pPr>
              <w:jc w:val="center"/>
              <w:rPr>
                <w:rFonts w:ascii="Times New Roman" w:hAnsi="Times New Roman" w:cs="Times New Roman"/>
                <w:sz w:val="20"/>
                <w:szCs w:val="20"/>
              </w:rPr>
            </w:pPr>
          </w:p>
          <w:p w:rsidR="0044248B" w:rsidRPr="009469CC" w:rsidRDefault="009469CC" w:rsidP="009469CC">
            <w:pPr>
              <w:jc w:val="center"/>
              <w:rPr>
                <w:rFonts w:ascii="Times New Roman" w:hAnsi="Times New Roman" w:cs="Times New Roman"/>
                <w:sz w:val="20"/>
                <w:szCs w:val="20"/>
              </w:rPr>
            </w:pPr>
            <w:r w:rsidRPr="009469CC">
              <w:rPr>
                <w:rFonts w:ascii="Times New Roman" w:hAnsi="Times New Roman" w:cs="Times New Roman"/>
                <w:sz w:val="20"/>
                <w:szCs w:val="20"/>
              </w:rPr>
              <w:t>96139613</w:t>
            </w:r>
          </w:p>
        </w:tc>
      </w:tr>
      <w:tr w:rsidR="0044248B" w:rsidTr="009469CC">
        <w:trPr>
          <w:trHeight w:val="80"/>
        </w:trPr>
        <w:tc>
          <w:tcPr>
            <w:tcW w:w="6091" w:type="dxa"/>
            <w:noWrap/>
            <w:tcMar>
              <w:top w:w="0" w:type="dxa"/>
              <w:left w:w="108" w:type="dxa"/>
              <w:bottom w:w="0" w:type="dxa"/>
              <w:right w:w="108" w:type="dxa"/>
            </w:tcMar>
            <w:vAlign w:val="bottom"/>
            <w:hideMark/>
          </w:tcPr>
          <w:p w:rsidR="0044248B" w:rsidRDefault="009469CC">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доходов бюджета,</w:t>
            </w:r>
          </w:p>
        </w:tc>
        <w:tc>
          <w:tcPr>
            <w:tcW w:w="228" w:type="dxa"/>
            <w:noWrap/>
            <w:tcMar>
              <w:top w:w="0" w:type="dxa"/>
              <w:left w:w="108" w:type="dxa"/>
              <w:bottom w:w="0" w:type="dxa"/>
              <w:right w:w="108" w:type="dxa"/>
            </w:tcMar>
            <w:vAlign w:val="bottom"/>
            <w:hideMark/>
          </w:tcPr>
          <w:p w:rsidR="0044248B" w:rsidRDefault="0044248B">
            <w:pPr>
              <w:rPr>
                <w:sz w:val="20"/>
              </w:rPr>
            </w:pPr>
          </w:p>
        </w:tc>
        <w:tc>
          <w:tcPr>
            <w:tcW w:w="4469" w:type="dxa"/>
            <w:noWrap/>
            <w:tcMar>
              <w:top w:w="0" w:type="dxa"/>
              <w:left w:w="108" w:type="dxa"/>
              <w:bottom w:w="0" w:type="dxa"/>
              <w:right w:w="108" w:type="dxa"/>
            </w:tcMar>
            <w:vAlign w:val="bottom"/>
            <w:hideMark/>
          </w:tcPr>
          <w:p w:rsidR="0044248B" w:rsidRDefault="009469CC">
            <w:pPr>
              <w:spacing w:line="195"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ОКПО</w:t>
            </w:r>
          </w:p>
        </w:tc>
        <w:tc>
          <w:tcPr>
            <w:tcW w:w="2410"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44248B" w:rsidRPr="009469CC" w:rsidRDefault="0044248B" w:rsidP="009469CC">
            <w:pPr>
              <w:jc w:val="center"/>
              <w:rPr>
                <w:rFonts w:ascii="Times New Roman" w:hAnsi="Times New Roman" w:cs="Times New Roman"/>
                <w:sz w:val="20"/>
                <w:szCs w:val="20"/>
              </w:rPr>
            </w:pPr>
          </w:p>
        </w:tc>
      </w:tr>
      <w:tr w:rsidR="0044248B" w:rsidTr="009A6E11">
        <w:trPr>
          <w:trHeight w:val="195"/>
        </w:trPr>
        <w:tc>
          <w:tcPr>
            <w:tcW w:w="6091" w:type="dxa"/>
            <w:noWrap/>
            <w:tcMar>
              <w:top w:w="0" w:type="dxa"/>
              <w:left w:w="108" w:type="dxa"/>
              <w:bottom w:w="0" w:type="dxa"/>
              <w:right w:w="108" w:type="dxa"/>
            </w:tcMar>
            <w:vAlign w:val="bottom"/>
            <w:hideMark/>
          </w:tcPr>
          <w:p w:rsidR="0044248B" w:rsidRDefault="009469CC">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главный администратор, администратор </w:t>
            </w:r>
          </w:p>
        </w:tc>
        <w:tc>
          <w:tcPr>
            <w:tcW w:w="228" w:type="dxa"/>
            <w:noWrap/>
            <w:tcMar>
              <w:top w:w="0" w:type="dxa"/>
              <w:left w:w="108" w:type="dxa"/>
              <w:bottom w:w="0" w:type="dxa"/>
              <w:right w:w="108" w:type="dxa"/>
            </w:tcMar>
            <w:vAlign w:val="bottom"/>
            <w:hideMark/>
          </w:tcPr>
          <w:p w:rsidR="0044248B" w:rsidRDefault="0044248B">
            <w:pPr>
              <w:rPr>
                <w:sz w:val="20"/>
              </w:rPr>
            </w:pPr>
          </w:p>
        </w:tc>
        <w:tc>
          <w:tcPr>
            <w:tcW w:w="4469" w:type="dxa"/>
            <w:noWrap/>
            <w:tcMar>
              <w:top w:w="0" w:type="dxa"/>
              <w:left w:w="108" w:type="dxa"/>
              <w:bottom w:w="0" w:type="dxa"/>
              <w:right w:w="108" w:type="dxa"/>
            </w:tcMar>
            <w:vAlign w:val="bottom"/>
            <w:hideMark/>
          </w:tcPr>
          <w:p w:rsidR="0044248B" w:rsidRDefault="0044248B">
            <w:pPr>
              <w:rPr>
                <w:sz w:val="20"/>
              </w:rPr>
            </w:pPr>
          </w:p>
        </w:tc>
        <w:tc>
          <w:tcPr>
            <w:tcW w:w="2410"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44248B" w:rsidRPr="009469CC" w:rsidRDefault="0044248B" w:rsidP="009469CC">
            <w:pPr>
              <w:jc w:val="center"/>
              <w:rPr>
                <w:rFonts w:ascii="Times New Roman" w:hAnsi="Times New Roman" w:cs="Times New Roman"/>
                <w:sz w:val="20"/>
                <w:szCs w:val="20"/>
              </w:rPr>
            </w:pPr>
          </w:p>
        </w:tc>
      </w:tr>
      <w:tr w:rsidR="0044248B" w:rsidTr="009A6E11">
        <w:trPr>
          <w:trHeight w:val="195"/>
        </w:trPr>
        <w:tc>
          <w:tcPr>
            <w:tcW w:w="6091" w:type="dxa"/>
            <w:noWrap/>
            <w:tcMar>
              <w:top w:w="0" w:type="dxa"/>
              <w:left w:w="108" w:type="dxa"/>
              <w:bottom w:w="0" w:type="dxa"/>
              <w:right w:w="108" w:type="dxa"/>
            </w:tcMar>
            <w:vAlign w:val="bottom"/>
            <w:hideMark/>
          </w:tcPr>
          <w:p w:rsidR="0044248B" w:rsidRDefault="009469CC">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источников финансирования</w:t>
            </w:r>
          </w:p>
        </w:tc>
        <w:tc>
          <w:tcPr>
            <w:tcW w:w="228" w:type="dxa"/>
            <w:noWrap/>
            <w:tcMar>
              <w:top w:w="0" w:type="dxa"/>
              <w:left w:w="108" w:type="dxa"/>
              <w:bottom w:w="0" w:type="dxa"/>
              <w:right w:w="108" w:type="dxa"/>
            </w:tcMar>
            <w:vAlign w:val="bottom"/>
            <w:hideMark/>
          </w:tcPr>
          <w:p w:rsidR="0044248B" w:rsidRDefault="0044248B">
            <w:pPr>
              <w:rPr>
                <w:sz w:val="20"/>
              </w:rPr>
            </w:pPr>
          </w:p>
        </w:tc>
        <w:tc>
          <w:tcPr>
            <w:tcW w:w="4469" w:type="dxa"/>
            <w:noWrap/>
            <w:tcMar>
              <w:top w:w="0" w:type="dxa"/>
              <w:left w:w="108" w:type="dxa"/>
              <w:bottom w:w="0" w:type="dxa"/>
              <w:right w:w="108" w:type="dxa"/>
            </w:tcMar>
            <w:vAlign w:val="bottom"/>
            <w:hideMark/>
          </w:tcPr>
          <w:p w:rsidR="0044248B" w:rsidRDefault="0044248B">
            <w:pPr>
              <w:rPr>
                <w:sz w:val="20"/>
              </w:rPr>
            </w:pPr>
          </w:p>
        </w:tc>
        <w:tc>
          <w:tcPr>
            <w:tcW w:w="2410"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44248B" w:rsidRPr="009469CC" w:rsidRDefault="0044248B" w:rsidP="009469CC">
            <w:pPr>
              <w:jc w:val="center"/>
              <w:rPr>
                <w:rFonts w:ascii="Times New Roman" w:hAnsi="Times New Roman" w:cs="Times New Roman"/>
                <w:sz w:val="20"/>
                <w:szCs w:val="20"/>
              </w:rPr>
            </w:pPr>
          </w:p>
        </w:tc>
      </w:tr>
      <w:tr w:rsidR="0044248B" w:rsidTr="009A6E11">
        <w:tc>
          <w:tcPr>
            <w:tcW w:w="0" w:type="auto"/>
            <w:gridSpan w:val="2"/>
            <w:tcMar>
              <w:top w:w="0" w:type="dxa"/>
              <w:left w:w="108" w:type="dxa"/>
              <w:bottom w:w="0" w:type="dxa"/>
              <w:right w:w="108" w:type="dxa"/>
            </w:tcMar>
            <w:vAlign w:val="bottom"/>
            <w:hideMark/>
          </w:tcPr>
          <w:p w:rsidR="0044248B" w:rsidRDefault="009469CC">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дефицита бюджета                                               </w:t>
            </w:r>
            <w:r>
              <w:rPr>
                <w:rFonts w:ascii="Times New Roman" w:eastAsia="Times New Roman" w:hAnsi="Times New Roman" w:cs="Times New Roman"/>
                <w:sz w:val="18"/>
                <w:szCs w:val="18"/>
                <w:u w:val="single"/>
              </w:rPr>
              <w:t>ФО МР «Мещовский район»</w:t>
            </w:r>
            <w:r>
              <w:rPr>
                <w:rFonts w:ascii="Times New Roman" w:eastAsia="Times New Roman" w:hAnsi="Times New Roman" w:cs="Times New Roman"/>
                <w:sz w:val="18"/>
                <w:szCs w:val="18"/>
              </w:rPr>
              <w:t>      </w:t>
            </w:r>
          </w:p>
          <w:p w:rsidR="0044248B" w:rsidRDefault="009469CC">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4469" w:type="dxa"/>
            <w:noWrap/>
            <w:tcMar>
              <w:top w:w="0" w:type="dxa"/>
              <w:left w:w="108" w:type="dxa"/>
              <w:bottom w:w="0" w:type="dxa"/>
              <w:right w:w="108" w:type="dxa"/>
            </w:tcMar>
            <w:vAlign w:val="bottom"/>
            <w:hideMark/>
          </w:tcPr>
          <w:p w:rsidR="0044248B" w:rsidRDefault="009469CC">
            <w:pPr>
              <w:jc w:val="right"/>
              <w:rPr>
                <w:rFonts w:ascii="Times New Roman" w:eastAsia="Times New Roman" w:hAnsi="Times New Roman" w:cs="Times New Roman"/>
                <w:sz w:val="24"/>
              </w:rPr>
            </w:pPr>
            <w:r>
              <w:rPr>
                <w:rFonts w:ascii="Times New Roman" w:eastAsia="Times New Roman" w:hAnsi="Times New Roman" w:cs="Times New Roman"/>
                <w:sz w:val="18"/>
                <w:szCs w:val="18"/>
              </w:rPr>
              <w:t>Глава по БК</w:t>
            </w:r>
          </w:p>
        </w:tc>
        <w:tc>
          <w:tcPr>
            <w:tcW w:w="241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44248B" w:rsidRPr="009469CC" w:rsidRDefault="009469CC" w:rsidP="009469CC">
            <w:pPr>
              <w:jc w:val="center"/>
              <w:rPr>
                <w:rFonts w:ascii="Times New Roman" w:hAnsi="Times New Roman" w:cs="Times New Roman"/>
                <w:sz w:val="20"/>
                <w:szCs w:val="20"/>
              </w:rPr>
            </w:pPr>
            <w:r w:rsidRPr="009469CC">
              <w:rPr>
                <w:rFonts w:ascii="Times New Roman" w:hAnsi="Times New Roman" w:cs="Times New Roman"/>
                <w:sz w:val="20"/>
                <w:szCs w:val="20"/>
              </w:rPr>
              <w:t>002</w:t>
            </w:r>
          </w:p>
        </w:tc>
      </w:tr>
      <w:tr w:rsidR="0044248B" w:rsidTr="009A6E11">
        <w:trPr>
          <w:trHeight w:val="280"/>
        </w:trPr>
        <w:tc>
          <w:tcPr>
            <w:tcW w:w="6091" w:type="dxa"/>
            <w:noWrap/>
            <w:tcMar>
              <w:top w:w="0" w:type="dxa"/>
              <w:left w:w="108" w:type="dxa"/>
              <w:bottom w:w="0" w:type="dxa"/>
              <w:right w:w="108" w:type="dxa"/>
            </w:tcMar>
            <w:vAlign w:val="bottom"/>
            <w:hideMark/>
          </w:tcPr>
          <w:p w:rsidR="0044248B" w:rsidRDefault="009469CC">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Наименование бюджета </w:t>
            </w:r>
          </w:p>
        </w:tc>
        <w:tc>
          <w:tcPr>
            <w:tcW w:w="228" w:type="dxa"/>
            <w:noWrap/>
            <w:tcMar>
              <w:top w:w="0" w:type="dxa"/>
              <w:left w:w="108" w:type="dxa"/>
              <w:bottom w:w="0" w:type="dxa"/>
              <w:right w:w="108" w:type="dxa"/>
            </w:tcMar>
            <w:vAlign w:val="bottom"/>
            <w:hideMark/>
          </w:tcPr>
          <w:p w:rsidR="0044248B" w:rsidRDefault="0044248B">
            <w:pPr>
              <w:rPr>
                <w:sz w:val="24"/>
              </w:rPr>
            </w:pPr>
          </w:p>
        </w:tc>
        <w:tc>
          <w:tcPr>
            <w:tcW w:w="4469" w:type="dxa"/>
            <w:noWrap/>
            <w:tcMar>
              <w:top w:w="0" w:type="dxa"/>
              <w:left w:w="108" w:type="dxa"/>
              <w:bottom w:w="0" w:type="dxa"/>
              <w:right w:w="108" w:type="dxa"/>
            </w:tcMar>
            <w:vAlign w:val="bottom"/>
            <w:hideMark/>
          </w:tcPr>
          <w:p w:rsidR="0044248B" w:rsidRDefault="0044248B">
            <w:pPr>
              <w:rPr>
                <w:sz w:val="24"/>
              </w:rPr>
            </w:pPr>
          </w:p>
        </w:tc>
        <w:tc>
          <w:tcPr>
            <w:tcW w:w="2410"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44248B" w:rsidRPr="009469CC" w:rsidRDefault="0044248B" w:rsidP="009469CC">
            <w:pPr>
              <w:jc w:val="center"/>
              <w:rPr>
                <w:rFonts w:ascii="Times New Roman" w:hAnsi="Times New Roman" w:cs="Times New Roman"/>
                <w:sz w:val="20"/>
                <w:szCs w:val="20"/>
              </w:rPr>
            </w:pPr>
          </w:p>
        </w:tc>
      </w:tr>
      <w:tr w:rsidR="0044248B" w:rsidTr="009A6E11">
        <w:trPr>
          <w:trHeight w:val="210"/>
        </w:trPr>
        <w:tc>
          <w:tcPr>
            <w:tcW w:w="0" w:type="auto"/>
            <w:gridSpan w:val="2"/>
            <w:noWrap/>
            <w:tcMar>
              <w:top w:w="0" w:type="dxa"/>
              <w:left w:w="108" w:type="dxa"/>
              <w:bottom w:w="0" w:type="dxa"/>
              <w:right w:w="108" w:type="dxa"/>
            </w:tcMar>
            <w:vAlign w:val="bottom"/>
            <w:hideMark/>
          </w:tcPr>
          <w:p w:rsidR="0044248B" w:rsidRDefault="009469CC">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(публично-правового </w:t>
            </w:r>
            <w:proofErr w:type="gramStart"/>
            <w:r>
              <w:rPr>
                <w:rFonts w:ascii="Times New Roman" w:eastAsia="Times New Roman" w:hAnsi="Times New Roman" w:cs="Times New Roman"/>
                <w:sz w:val="18"/>
                <w:szCs w:val="18"/>
              </w:rPr>
              <w:t xml:space="preserve">образования)   </w:t>
            </w:r>
            <w:proofErr w:type="gramEnd"/>
            <w:r>
              <w:rPr>
                <w:rFonts w:ascii="Times New Roman" w:eastAsia="Times New Roman" w:hAnsi="Times New Roman" w:cs="Times New Roman"/>
                <w:sz w:val="18"/>
                <w:szCs w:val="18"/>
              </w:rPr>
              <w:t xml:space="preserve">                 </w:t>
            </w:r>
            <w:r w:rsidRPr="009469CC">
              <w:rPr>
                <w:rFonts w:ascii="Times New Roman" w:eastAsia="Times New Roman" w:hAnsi="Times New Roman" w:cs="Times New Roman"/>
                <w:sz w:val="18"/>
                <w:szCs w:val="18"/>
                <w:u w:val="single"/>
              </w:rPr>
              <w:t>Бюджет МР «Мещовский район»</w:t>
            </w:r>
            <w:r>
              <w:rPr>
                <w:rFonts w:ascii="Times New Roman" w:eastAsia="Times New Roman" w:hAnsi="Times New Roman" w:cs="Times New Roman"/>
                <w:sz w:val="18"/>
                <w:szCs w:val="18"/>
              </w:rPr>
              <w:t xml:space="preserve"> </w:t>
            </w:r>
          </w:p>
          <w:p w:rsidR="0044248B" w:rsidRDefault="009469CC">
            <w:pPr>
              <w:spacing w:line="210"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   </w:t>
            </w:r>
          </w:p>
        </w:tc>
        <w:tc>
          <w:tcPr>
            <w:tcW w:w="4469" w:type="dxa"/>
            <w:noWrap/>
            <w:tcMar>
              <w:top w:w="0" w:type="dxa"/>
              <w:left w:w="108" w:type="dxa"/>
              <w:bottom w:w="0" w:type="dxa"/>
              <w:right w:w="108" w:type="dxa"/>
            </w:tcMar>
            <w:vAlign w:val="bottom"/>
            <w:hideMark/>
          </w:tcPr>
          <w:p w:rsidR="0044248B" w:rsidRDefault="009469CC">
            <w:pPr>
              <w:spacing w:line="210"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ОКТМО</w:t>
            </w:r>
          </w:p>
        </w:tc>
        <w:tc>
          <w:tcPr>
            <w:tcW w:w="2410"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44248B" w:rsidRPr="009469CC" w:rsidRDefault="009469CC" w:rsidP="009469CC">
            <w:pPr>
              <w:spacing w:line="210" w:lineRule="atLeast"/>
              <w:jc w:val="center"/>
              <w:rPr>
                <w:rFonts w:ascii="Times New Roman" w:eastAsia="Times New Roman" w:hAnsi="Times New Roman" w:cs="Times New Roman"/>
                <w:sz w:val="20"/>
                <w:szCs w:val="20"/>
              </w:rPr>
            </w:pPr>
            <w:r w:rsidRPr="009469CC">
              <w:rPr>
                <w:rFonts w:ascii="Times New Roman" w:eastAsia="Times New Roman" w:hAnsi="Times New Roman" w:cs="Times New Roman"/>
                <w:sz w:val="20"/>
                <w:szCs w:val="20"/>
              </w:rPr>
              <w:t>29627000</w:t>
            </w:r>
          </w:p>
        </w:tc>
      </w:tr>
      <w:tr w:rsidR="0044248B" w:rsidTr="009A6E11">
        <w:trPr>
          <w:trHeight w:val="315"/>
        </w:trPr>
        <w:tc>
          <w:tcPr>
            <w:tcW w:w="6091" w:type="dxa"/>
            <w:noWrap/>
            <w:tcMar>
              <w:top w:w="0" w:type="dxa"/>
              <w:left w:w="108" w:type="dxa"/>
              <w:bottom w:w="0" w:type="dxa"/>
              <w:right w:w="108" w:type="dxa"/>
            </w:tcMar>
            <w:vAlign w:val="bottom"/>
            <w:hideMark/>
          </w:tcPr>
          <w:p w:rsidR="0044248B" w:rsidRDefault="009469CC">
            <w:pPr>
              <w:rPr>
                <w:rFonts w:ascii="Times New Roman" w:eastAsia="Times New Roman" w:hAnsi="Times New Roman" w:cs="Times New Roman"/>
                <w:sz w:val="24"/>
              </w:rPr>
            </w:pPr>
            <w:proofErr w:type="gramStart"/>
            <w:r>
              <w:rPr>
                <w:rFonts w:ascii="Times New Roman" w:eastAsia="Times New Roman" w:hAnsi="Times New Roman" w:cs="Times New Roman"/>
                <w:sz w:val="18"/>
                <w:szCs w:val="18"/>
              </w:rPr>
              <w:t>Периодичность:   </w:t>
            </w:r>
            <w:proofErr w:type="gramEnd"/>
            <w:r>
              <w:rPr>
                <w:rFonts w:ascii="Times New Roman" w:eastAsia="Times New Roman" w:hAnsi="Times New Roman" w:cs="Times New Roman"/>
                <w:sz w:val="18"/>
                <w:szCs w:val="18"/>
              </w:rPr>
              <w:t xml:space="preserve"> месячная, квартальная, </w:t>
            </w:r>
            <w:r w:rsidRPr="009469CC">
              <w:rPr>
                <w:rFonts w:ascii="Times New Roman" w:eastAsia="Times New Roman" w:hAnsi="Times New Roman" w:cs="Times New Roman"/>
                <w:sz w:val="18"/>
                <w:szCs w:val="18"/>
                <w:u w:val="single"/>
              </w:rPr>
              <w:t>годовая</w:t>
            </w:r>
          </w:p>
        </w:tc>
        <w:tc>
          <w:tcPr>
            <w:tcW w:w="228" w:type="dxa"/>
            <w:noWrap/>
            <w:tcMar>
              <w:top w:w="0" w:type="dxa"/>
              <w:left w:w="108" w:type="dxa"/>
              <w:bottom w:w="0" w:type="dxa"/>
              <w:right w:w="108" w:type="dxa"/>
            </w:tcMar>
            <w:vAlign w:val="bottom"/>
            <w:hideMark/>
          </w:tcPr>
          <w:p w:rsidR="0044248B" w:rsidRDefault="0044248B">
            <w:pPr>
              <w:rPr>
                <w:sz w:val="24"/>
              </w:rPr>
            </w:pPr>
          </w:p>
        </w:tc>
        <w:tc>
          <w:tcPr>
            <w:tcW w:w="4469" w:type="dxa"/>
            <w:noWrap/>
            <w:tcMar>
              <w:top w:w="0" w:type="dxa"/>
              <w:left w:w="108" w:type="dxa"/>
              <w:bottom w:w="0" w:type="dxa"/>
              <w:right w:w="108" w:type="dxa"/>
            </w:tcMar>
            <w:vAlign w:val="bottom"/>
            <w:hideMark/>
          </w:tcPr>
          <w:p w:rsidR="0044248B" w:rsidRDefault="0044248B">
            <w:pPr>
              <w:rPr>
                <w:sz w:val="24"/>
              </w:rPr>
            </w:pPr>
          </w:p>
        </w:tc>
        <w:tc>
          <w:tcPr>
            <w:tcW w:w="2410"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44248B" w:rsidRDefault="0044248B">
            <w:pPr>
              <w:rPr>
                <w:sz w:val="24"/>
              </w:rPr>
            </w:pPr>
          </w:p>
        </w:tc>
      </w:tr>
      <w:tr w:rsidR="0044248B" w:rsidTr="009A6E11">
        <w:trPr>
          <w:trHeight w:val="282"/>
        </w:trPr>
        <w:tc>
          <w:tcPr>
            <w:tcW w:w="0" w:type="auto"/>
            <w:noWrap/>
            <w:tcMar>
              <w:top w:w="0" w:type="dxa"/>
              <w:left w:w="108" w:type="dxa"/>
              <w:bottom w:w="0" w:type="dxa"/>
              <w:right w:w="108" w:type="dxa"/>
            </w:tcMar>
            <w:vAlign w:val="bottom"/>
            <w:hideMark/>
          </w:tcPr>
          <w:p w:rsidR="0044248B" w:rsidRDefault="009469CC">
            <w:pPr>
              <w:rPr>
                <w:rFonts w:ascii="Times New Roman" w:eastAsia="Times New Roman" w:hAnsi="Times New Roman" w:cs="Times New Roman"/>
                <w:sz w:val="24"/>
              </w:rPr>
            </w:pPr>
            <w:r>
              <w:rPr>
                <w:rFonts w:ascii="Times New Roman" w:eastAsia="Times New Roman" w:hAnsi="Times New Roman" w:cs="Times New Roman"/>
                <w:sz w:val="18"/>
                <w:szCs w:val="18"/>
              </w:rPr>
              <w:t>Единица измерения: руб.</w:t>
            </w:r>
          </w:p>
        </w:tc>
        <w:tc>
          <w:tcPr>
            <w:tcW w:w="228" w:type="dxa"/>
            <w:noWrap/>
            <w:tcMar>
              <w:top w:w="0" w:type="dxa"/>
              <w:left w:w="108" w:type="dxa"/>
              <w:bottom w:w="0" w:type="dxa"/>
              <w:right w:w="108" w:type="dxa"/>
            </w:tcMar>
            <w:vAlign w:val="bottom"/>
            <w:hideMark/>
          </w:tcPr>
          <w:p w:rsidR="0044248B" w:rsidRDefault="0044248B">
            <w:pPr>
              <w:rPr>
                <w:sz w:val="24"/>
              </w:rPr>
            </w:pPr>
          </w:p>
        </w:tc>
        <w:tc>
          <w:tcPr>
            <w:tcW w:w="4469" w:type="dxa"/>
            <w:noWrap/>
            <w:tcMar>
              <w:top w:w="0" w:type="dxa"/>
              <w:left w:w="108" w:type="dxa"/>
              <w:bottom w:w="0" w:type="dxa"/>
              <w:right w:w="108" w:type="dxa"/>
            </w:tcMar>
            <w:vAlign w:val="bottom"/>
            <w:hideMark/>
          </w:tcPr>
          <w:p w:rsidR="0044248B" w:rsidRDefault="009469CC">
            <w:pPr>
              <w:spacing w:before="240" w:beforeAutospacing="1" w:after="240" w:afterAutospacing="1"/>
              <w:jc w:val="right"/>
              <w:rPr>
                <w:rFonts w:ascii="Times New Roman" w:eastAsia="Times New Roman" w:hAnsi="Times New Roman" w:cs="Times New Roman"/>
                <w:sz w:val="24"/>
              </w:rPr>
            </w:pPr>
            <w:r>
              <w:rPr>
                <w:rFonts w:ascii="Times New Roman" w:eastAsia="Times New Roman" w:hAnsi="Times New Roman" w:cs="Times New Roman"/>
                <w:sz w:val="18"/>
                <w:szCs w:val="18"/>
              </w:rPr>
              <w:t>    по ОКЕИ</w:t>
            </w:r>
          </w:p>
        </w:tc>
        <w:tc>
          <w:tcPr>
            <w:tcW w:w="241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44248B" w:rsidRDefault="009469CC">
            <w:pPr>
              <w:jc w:val="center"/>
              <w:rPr>
                <w:rFonts w:ascii="Times New Roman" w:eastAsia="Times New Roman" w:hAnsi="Times New Roman" w:cs="Times New Roman"/>
                <w:sz w:val="24"/>
              </w:rPr>
            </w:pPr>
            <w:r>
              <w:rPr>
                <w:rFonts w:ascii="Times New Roman" w:eastAsia="Times New Roman" w:hAnsi="Times New Roman" w:cs="Times New Roman"/>
                <w:sz w:val="18"/>
                <w:szCs w:val="18"/>
              </w:rPr>
              <w:t>383</w:t>
            </w:r>
          </w:p>
        </w:tc>
      </w:tr>
      <w:tr w:rsidR="0044248B" w:rsidTr="009A6E11">
        <w:trPr>
          <w:trHeight w:val="282"/>
        </w:trPr>
        <w:tc>
          <w:tcPr>
            <w:tcW w:w="0" w:type="auto"/>
            <w:noWrap/>
            <w:tcMar>
              <w:top w:w="0" w:type="dxa"/>
              <w:left w:w="108" w:type="dxa"/>
              <w:bottom w:w="0" w:type="dxa"/>
              <w:right w:w="108" w:type="dxa"/>
            </w:tcMar>
            <w:vAlign w:val="bottom"/>
            <w:hideMark/>
          </w:tcPr>
          <w:p w:rsidR="0044248B" w:rsidRDefault="0044248B">
            <w:pPr>
              <w:rPr>
                <w:sz w:val="24"/>
              </w:rPr>
            </w:pPr>
          </w:p>
        </w:tc>
        <w:tc>
          <w:tcPr>
            <w:tcW w:w="228" w:type="dxa"/>
            <w:noWrap/>
            <w:tcMar>
              <w:top w:w="0" w:type="dxa"/>
              <w:left w:w="108" w:type="dxa"/>
              <w:bottom w:w="0" w:type="dxa"/>
              <w:right w:w="108" w:type="dxa"/>
            </w:tcMar>
            <w:vAlign w:val="bottom"/>
            <w:hideMark/>
          </w:tcPr>
          <w:p w:rsidR="0044248B" w:rsidRDefault="0044248B">
            <w:pPr>
              <w:rPr>
                <w:sz w:val="24"/>
              </w:rPr>
            </w:pPr>
          </w:p>
        </w:tc>
        <w:tc>
          <w:tcPr>
            <w:tcW w:w="4469" w:type="dxa"/>
            <w:noWrap/>
            <w:tcMar>
              <w:top w:w="0" w:type="dxa"/>
              <w:left w:w="108" w:type="dxa"/>
              <w:bottom w:w="0" w:type="dxa"/>
              <w:right w:w="108" w:type="dxa"/>
            </w:tcMar>
            <w:vAlign w:val="bottom"/>
            <w:hideMark/>
          </w:tcPr>
          <w:p w:rsidR="0044248B" w:rsidRDefault="0044248B">
            <w:pPr>
              <w:rPr>
                <w:sz w:val="24"/>
              </w:rPr>
            </w:pPr>
          </w:p>
        </w:tc>
        <w:tc>
          <w:tcPr>
            <w:tcW w:w="2410" w:type="dxa"/>
            <w:noWrap/>
            <w:tcMar>
              <w:top w:w="0" w:type="dxa"/>
              <w:left w:w="108" w:type="dxa"/>
              <w:bottom w:w="0" w:type="dxa"/>
              <w:right w:w="108" w:type="dxa"/>
            </w:tcMar>
            <w:vAlign w:val="bottom"/>
            <w:hideMark/>
          </w:tcPr>
          <w:p w:rsidR="0044248B" w:rsidRDefault="0044248B">
            <w:pPr>
              <w:rPr>
                <w:sz w:val="24"/>
              </w:rPr>
            </w:pPr>
          </w:p>
        </w:tc>
      </w:tr>
      <w:tr w:rsidR="0044248B" w:rsidTr="009A6E11">
        <w:trPr>
          <w:trHeight w:val="282"/>
        </w:trPr>
        <w:tc>
          <w:tcPr>
            <w:tcW w:w="13198" w:type="dxa"/>
            <w:gridSpan w:val="4"/>
            <w:noWrap/>
            <w:tcMar>
              <w:top w:w="0" w:type="dxa"/>
              <w:left w:w="108" w:type="dxa"/>
              <w:bottom w:w="0" w:type="dxa"/>
              <w:right w:w="108" w:type="dxa"/>
            </w:tcMar>
            <w:vAlign w:val="bottom"/>
            <w:hideMark/>
          </w:tcPr>
          <w:p w:rsidR="0044248B" w:rsidRDefault="0044248B">
            <w:pPr>
              <w:rPr>
                <w:sz w:val="24"/>
              </w:rPr>
            </w:pPr>
          </w:p>
        </w:tc>
      </w:tr>
    </w:tbl>
    <w:p w:rsidR="0044248B" w:rsidRDefault="009469CC">
      <w:pPr>
        <w:jc w:val="center"/>
      </w:pPr>
      <w:r>
        <w:rPr>
          <w:rFonts w:ascii="Calibri" w:eastAsia="Calibri" w:hAnsi="Calibri" w:cs="Calibri"/>
          <w:b/>
          <w:color w:val="000000"/>
          <w:sz w:val="26"/>
          <w:szCs w:val="26"/>
        </w:rPr>
        <w:t>Раздел 1 «Организационная структура субъекта бюджетной отчетности»</w:t>
      </w:r>
    </w:p>
    <w:p w:rsidR="0044248B" w:rsidRDefault="009469CC">
      <w:pPr>
        <w:spacing w:beforeAutospacing="1" w:afterAutospacing="1"/>
        <w:ind w:firstLine="700"/>
        <w:jc w:val="both"/>
      </w:pPr>
      <w:r>
        <w:rPr>
          <w:rFonts w:ascii="Calibri" w:eastAsia="Calibri" w:hAnsi="Calibri" w:cs="Calibri"/>
          <w:color w:val="000000"/>
          <w:sz w:val="26"/>
          <w:szCs w:val="26"/>
        </w:rPr>
        <w:t> </w:t>
      </w:r>
    </w:p>
    <w:p w:rsidR="0044248B" w:rsidRDefault="009469CC">
      <w:pPr>
        <w:spacing w:beforeAutospacing="1" w:afterAutospacing="1"/>
        <w:ind w:firstLine="700"/>
        <w:jc w:val="both"/>
      </w:pPr>
      <w:r>
        <w:rPr>
          <w:rFonts w:ascii="Times New Roman" w:eastAsia="Times New Roman" w:hAnsi="Times New Roman" w:cs="Times New Roman"/>
          <w:color w:val="000000"/>
          <w:sz w:val="24"/>
          <w:szCs w:val="24"/>
        </w:rPr>
        <w:t xml:space="preserve">Финансовый отдел администрации муниципального района "Мещовский район" является структурным подразделением администрации муниципального района "Мещовский район", осуществляющим непосредственное составление и организацию исполнения бюджета муниципального района, а также обеспечение иных полномочий по решению вопросов местного значения в области финансов, обеспечивает проведение единой финансовой политики в Мещовском районе. В своей деятельности финансовый отдел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Калужской области, Постановлениями Законодательного собрания Калужской области, Распоряжениями и Постановлениями Губернатора Калужской области, Постановлениями Правительства Калужской области, Решениями Районного Собрания муниципального района "Мещовский район", Постановлениями и Распоряжениями администрации муниципального района "Мещовский район". Финансовый отдел администрации муниципального района "Мещовский район" действует на основании </w:t>
      </w:r>
      <w:r>
        <w:rPr>
          <w:rFonts w:ascii="Times New Roman" w:eastAsia="Times New Roman" w:hAnsi="Times New Roman" w:cs="Times New Roman"/>
          <w:color w:val="000000"/>
          <w:sz w:val="24"/>
          <w:szCs w:val="24"/>
        </w:rPr>
        <w:lastRenderedPageBreak/>
        <w:t xml:space="preserve">Положения о Финансовом отделе, утвержденным Постановлением администрации муниципального района "Мещовский район" от 30.08.2007 № 1221 "О создании финансового отдела администрации муниципального района "Мещовский район". </w:t>
      </w:r>
    </w:p>
    <w:p w:rsidR="0044248B" w:rsidRDefault="009469CC">
      <w:pPr>
        <w:spacing w:before="240" w:after="240"/>
        <w:jc w:val="both"/>
      </w:pPr>
      <w:r>
        <w:rPr>
          <w:rFonts w:ascii="Times New Roman" w:eastAsia="Times New Roman" w:hAnsi="Times New Roman" w:cs="Times New Roman"/>
          <w:color w:val="000000"/>
          <w:sz w:val="24"/>
          <w:szCs w:val="24"/>
        </w:rPr>
        <w:t xml:space="preserve">          Важной функцией и полномочием финансового отдела является ведение бюджетного (бухгалтерского) учета и формирование полной, достоверной, своевременной и качественной бюджетной (бухгалтерской) отчетности в разрезе бюджетов Мещовского района, а также её консолидации. </w:t>
      </w:r>
    </w:p>
    <w:p w:rsidR="0044248B" w:rsidRDefault="009469CC">
      <w:pPr>
        <w:spacing w:beforeAutospacing="1" w:afterAutospacing="1"/>
        <w:ind w:firstLine="700"/>
        <w:jc w:val="both"/>
      </w:pPr>
      <w:r>
        <w:rPr>
          <w:rFonts w:ascii="Times New Roman" w:eastAsia="Times New Roman" w:hAnsi="Times New Roman" w:cs="Times New Roman"/>
          <w:color w:val="000000"/>
          <w:sz w:val="24"/>
          <w:szCs w:val="24"/>
        </w:rPr>
        <w:t xml:space="preserve">  </w:t>
      </w:r>
      <w:r>
        <w:rPr>
          <w:rFonts w:ascii="Calibri" w:eastAsia="Calibri" w:hAnsi="Calibri" w:cs="Calibri"/>
          <w:b/>
          <w:color w:val="000000"/>
          <w:sz w:val="26"/>
          <w:szCs w:val="26"/>
        </w:rPr>
        <w:t>Раздел 2 «Результаты деятельности субъекта бюджетной отчетности»</w:t>
      </w:r>
    </w:p>
    <w:p w:rsidR="0044248B" w:rsidRDefault="009469CC">
      <w:pPr>
        <w:spacing w:beforeAutospacing="1" w:afterAutospacing="1"/>
        <w:ind w:firstLine="700"/>
        <w:jc w:val="both"/>
      </w:pPr>
      <w:r>
        <w:rPr>
          <w:rFonts w:ascii="Times New Roman" w:eastAsia="Times New Roman" w:hAnsi="Times New Roman" w:cs="Times New Roman"/>
          <w:color w:val="000000"/>
          <w:sz w:val="24"/>
          <w:szCs w:val="24"/>
        </w:rPr>
        <w:t> </w:t>
      </w:r>
    </w:p>
    <w:p w:rsidR="0044248B" w:rsidRDefault="009469CC">
      <w:pPr>
        <w:spacing w:beforeAutospacing="1" w:afterAutospacing="1"/>
        <w:ind w:firstLine="700"/>
        <w:jc w:val="both"/>
      </w:pPr>
      <w:r>
        <w:rPr>
          <w:rFonts w:ascii="Times New Roman" w:eastAsia="Times New Roman" w:hAnsi="Times New Roman" w:cs="Times New Roman"/>
          <w:color w:val="000000"/>
          <w:sz w:val="24"/>
          <w:szCs w:val="24"/>
        </w:rPr>
        <w:t>В 2022 году в бюджет муниципального района "Мещовский район"</w:t>
      </w:r>
      <w:r w:rsidR="009A6E1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поступило доходов в сумме 931 983,1 тыс. рублей, исполнение уточненного годового плана составило 99,4%, в том числе налоговые и неналоговые доходы поступили в сумме 129 840,6 тыс. рублей, что составляет 100,9% к уточненному годовому плану, уменьшение поступлений по сравнению с прошлым годом составило 8 836,7 тыс. рублей, или 6,4%.</w:t>
      </w:r>
    </w:p>
    <w:p w:rsidR="0044248B" w:rsidRDefault="009469CC">
      <w:pPr>
        <w:spacing w:beforeAutospacing="1" w:afterAutospacing="1"/>
        <w:ind w:firstLine="700"/>
        <w:jc w:val="both"/>
      </w:pPr>
      <w:r>
        <w:rPr>
          <w:rFonts w:ascii="Times New Roman" w:eastAsia="Times New Roman" w:hAnsi="Times New Roman" w:cs="Times New Roman"/>
          <w:color w:val="000000"/>
          <w:sz w:val="24"/>
          <w:szCs w:val="24"/>
        </w:rPr>
        <w:t>Поступление налоговых доходов за 2022 год составило 124 178,3 тыс. рублей или 100,9% к плановым назначениям и 94,0% к уровню 2021 года, снижение при этом составило 7 886,0 тыс. рублей.</w:t>
      </w:r>
    </w:p>
    <w:p w:rsidR="0044248B" w:rsidRDefault="009469CC">
      <w:pPr>
        <w:spacing w:beforeAutospacing="1" w:afterAutospacing="1"/>
        <w:ind w:firstLine="700"/>
        <w:jc w:val="both"/>
      </w:pPr>
      <w:r>
        <w:rPr>
          <w:rFonts w:ascii="Times New Roman" w:eastAsia="Times New Roman" w:hAnsi="Times New Roman" w:cs="Times New Roman"/>
          <w:color w:val="000000"/>
          <w:sz w:val="24"/>
          <w:szCs w:val="24"/>
        </w:rPr>
        <w:t>По налоговым доходам наибольшее снижение сложилось:</w:t>
      </w:r>
    </w:p>
    <w:p w:rsidR="0044248B" w:rsidRDefault="009469CC">
      <w:pPr>
        <w:spacing w:before="240" w:after="240"/>
      </w:pPr>
      <w:r>
        <w:rPr>
          <w:rFonts w:ascii="Times New Roman" w:eastAsia="Times New Roman" w:hAnsi="Times New Roman" w:cs="Times New Roman"/>
          <w:color w:val="000000"/>
          <w:sz w:val="24"/>
          <w:szCs w:val="24"/>
        </w:rPr>
        <w:t>-по налогу на доходы физических лиц – на 12,3 % или на 11 589,0 тыс. рублей- за счет снижения поступлений от ООО "Автодор-21" с аналогичным периодом прошлого года; по Решению об изменении места нахождения ЮЛ Межрайонная инспекция ФНС № 46 по г. Москве 06.05.2022 внесла изменения в ЕГРЮЛ по ООО "Автодор-21";</w:t>
      </w:r>
    </w:p>
    <w:p w:rsidR="0044248B" w:rsidRDefault="009469CC">
      <w:pPr>
        <w:spacing w:before="240" w:after="240"/>
      </w:pPr>
      <w:r>
        <w:rPr>
          <w:rFonts w:ascii="Times New Roman" w:eastAsia="Times New Roman" w:hAnsi="Times New Roman" w:cs="Times New Roman"/>
          <w:color w:val="000000"/>
          <w:sz w:val="24"/>
          <w:szCs w:val="24"/>
        </w:rPr>
        <w:t xml:space="preserve">-по налогу, взимаемому в связи с применением упрощенной системы налогообложения, сокращение поступлений по к уровню 2021 года составило 4,6 % или 666,0 тыс. руб., что обусловлено задолженностью по УСН ИП </w:t>
      </w:r>
      <w:proofErr w:type="spellStart"/>
      <w:r>
        <w:rPr>
          <w:rFonts w:ascii="Times New Roman" w:eastAsia="Times New Roman" w:hAnsi="Times New Roman" w:cs="Times New Roman"/>
          <w:color w:val="000000"/>
          <w:sz w:val="24"/>
          <w:szCs w:val="24"/>
        </w:rPr>
        <w:t>Бадалян</w:t>
      </w:r>
      <w:proofErr w:type="spellEnd"/>
      <w:r>
        <w:rPr>
          <w:rFonts w:ascii="Times New Roman" w:eastAsia="Times New Roman" w:hAnsi="Times New Roman" w:cs="Times New Roman"/>
          <w:color w:val="000000"/>
          <w:sz w:val="24"/>
          <w:szCs w:val="24"/>
        </w:rPr>
        <w:t xml:space="preserve"> Артур </w:t>
      </w:r>
      <w:proofErr w:type="spellStart"/>
      <w:r>
        <w:rPr>
          <w:rFonts w:ascii="Times New Roman" w:eastAsia="Times New Roman" w:hAnsi="Times New Roman" w:cs="Times New Roman"/>
          <w:color w:val="000000"/>
          <w:sz w:val="24"/>
          <w:szCs w:val="24"/>
        </w:rPr>
        <w:t>Гагикович</w:t>
      </w:r>
      <w:proofErr w:type="spellEnd"/>
      <w:r>
        <w:rPr>
          <w:rFonts w:ascii="Times New Roman" w:eastAsia="Times New Roman" w:hAnsi="Times New Roman" w:cs="Times New Roman"/>
          <w:color w:val="000000"/>
          <w:sz w:val="24"/>
          <w:szCs w:val="24"/>
        </w:rPr>
        <w:t xml:space="preserve"> в сумме 743,0 тыс. руб.; </w:t>
      </w:r>
    </w:p>
    <w:p w:rsidR="0044248B" w:rsidRDefault="009469CC">
      <w:bookmarkStart w:id="0" w:name="_dx_frag_EndFragment"/>
      <w:bookmarkEnd w:id="0"/>
      <w:r>
        <w:rPr>
          <w:rFonts w:ascii="Calibri" w:eastAsia="Calibri" w:hAnsi="Calibri" w:cs="Calibri"/>
          <w:color w:val="000000"/>
        </w:rPr>
        <w:t>-</w:t>
      </w:r>
      <w:r>
        <w:rPr>
          <w:rFonts w:ascii="Times New Roman" w:eastAsia="Times New Roman" w:hAnsi="Times New Roman" w:cs="Times New Roman"/>
          <w:color w:val="000000"/>
        </w:rPr>
        <w:t xml:space="preserve"> по налогу, взимаемому в связи с применением патентной системы налогообложения, исполнение составило 65,4% к уровню 2021 года или 896,4 тыс. руб., что </w:t>
      </w:r>
      <w:r w:rsidR="009A6E11">
        <w:rPr>
          <w:rFonts w:ascii="Times New Roman" w:eastAsia="Times New Roman" w:hAnsi="Times New Roman" w:cs="Times New Roman"/>
          <w:color w:val="000000"/>
        </w:rPr>
        <w:t>связан</w:t>
      </w:r>
      <w:r>
        <w:rPr>
          <w:rFonts w:ascii="Times New Roman" w:eastAsia="Times New Roman" w:hAnsi="Times New Roman" w:cs="Times New Roman"/>
          <w:color w:val="000000"/>
        </w:rPr>
        <w:t xml:space="preserve">о </w:t>
      </w:r>
      <w:r w:rsidR="009A6E11">
        <w:rPr>
          <w:rFonts w:ascii="Times New Roman" w:eastAsia="Times New Roman" w:hAnsi="Times New Roman" w:cs="Times New Roman"/>
          <w:color w:val="000000"/>
        </w:rPr>
        <w:t xml:space="preserve">с </w:t>
      </w:r>
      <w:r>
        <w:rPr>
          <w:rFonts w:ascii="Times New Roman" w:eastAsia="Times New Roman" w:hAnsi="Times New Roman" w:cs="Times New Roman"/>
          <w:color w:val="000000"/>
        </w:rPr>
        <w:t>сокращением численности ИП, перешедших на уплату налога с применением патентной системы налогообложения, к уровню 2021 года.</w:t>
      </w:r>
    </w:p>
    <w:p w:rsidR="0044248B" w:rsidRDefault="009469CC">
      <w:r>
        <w:rPr>
          <w:rFonts w:ascii="Times New Roman" w:eastAsia="Times New Roman" w:hAnsi="Times New Roman" w:cs="Times New Roman"/>
          <w:color w:val="000000"/>
          <w:sz w:val="24"/>
          <w:szCs w:val="24"/>
        </w:rPr>
        <w:t> </w:t>
      </w:r>
    </w:p>
    <w:p w:rsidR="0044248B" w:rsidRDefault="009469CC">
      <w:pPr>
        <w:spacing w:before="240" w:after="240"/>
      </w:pPr>
      <w:r>
        <w:rPr>
          <w:rFonts w:ascii="Times New Roman" w:eastAsia="Times New Roman" w:hAnsi="Times New Roman" w:cs="Times New Roman"/>
          <w:color w:val="000000"/>
          <w:sz w:val="24"/>
          <w:szCs w:val="24"/>
        </w:rPr>
        <w:t> </w:t>
      </w:r>
      <w:r w:rsidR="0086144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По</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неналоговым доходам</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объем поступлений составил 5 662,3 тыс. рублей, что на 950,7 тыс. рублей или на</w:t>
      </w:r>
      <w:r w:rsidR="0086144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14,4 % ниже соответствующего периода 2021 года. Сокращение объема неналоговых доходов обусловлено снижением поступлений от </w:t>
      </w:r>
      <w:r>
        <w:rPr>
          <w:rFonts w:ascii="Times New Roman" w:eastAsia="Times New Roman" w:hAnsi="Times New Roman" w:cs="Times New Roman"/>
          <w:color w:val="000000"/>
          <w:sz w:val="24"/>
          <w:szCs w:val="24"/>
        </w:rPr>
        <w:lastRenderedPageBreak/>
        <w:t xml:space="preserve">административных штрафов, установленных Кодексом Российской Федерации об административных правонарушениях на 327,3 тыс. руб.,. административных штрафов, установленных законами субъектов Российской Федерации об административных правонарушениях на 148,0 тыс. руб. Также уменьшились доходы от компенсации затрат бюджетов в связи с возвратом в 2021 году средств субсидии, предоставленной в 2020 году бюджету муниципального района на реализацию мероприятий по обеспечению жильем молодых семей в сумме 378,0 тыс. руб. </w:t>
      </w:r>
    </w:p>
    <w:p w:rsidR="0044248B" w:rsidRDefault="009469CC">
      <w:r>
        <w:rPr>
          <w:rFonts w:ascii="Times New Roman" w:eastAsia="Times New Roman" w:hAnsi="Times New Roman" w:cs="Times New Roman"/>
          <w:color w:val="000000"/>
          <w:sz w:val="24"/>
          <w:szCs w:val="24"/>
        </w:rPr>
        <w:t>      </w:t>
      </w:r>
      <w:r w:rsidR="0086144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Расходная часть бюджета муниципального района "Мещовский район" исполнена в объеме 936 073,6 тыс. руб. или на 98,4% к уточненной бюджетной росписи расходов бюджета. Неисполненных бюджетных обязательств по состоянию на 01.01.2023 года нет.</w:t>
      </w:r>
    </w:p>
    <w:p w:rsidR="0044248B" w:rsidRDefault="009469CC">
      <w:r>
        <w:rPr>
          <w:rFonts w:ascii="Times New Roman" w:eastAsia="Times New Roman" w:hAnsi="Times New Roman" w:cs="Times New Roman"/>
          <w:color w:val="000000"/>
          <w:sz w:val="24"/>
          <w:szCs w:val="24"/>
        </w:rPr>
        <w:t>        На финансирование расходов социального характера в отчетном году направлено 762 840,5 тыс. рублей, или 81,5% от общего объема расходов бюджета муниципального района "Мещовский район</w:t>
      </w:r>
      <w:proofErr w:type="gramStart"/>
      <w:r>
        <w:rPr>
          <w:rFonts w:ascii="Times New Roman" w:eastAsia="Times New Roman" w:hAnsi="Times New Roman" w:cs="Times New Roman"/>
          <w:color w:val="000000"/>
          <w:sz w:val="24"/>
          <w:szCs w:val="24"/>
        </w:rPr>
        <w:t>"</w:t>
      </w:r>
      <w:r w:rsidR="0086144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,в</w:t>
      </w:r>
      <w:proofErr w:type="gramEnd"/>
      <w:r>
        <w:rPr>
          <w:rFonts w:ascii="Times New Roman" w:eastAsia="Times New Roman" w:hAnsi="Times New Roman" w:cs="Times New Roman"/>
          <w:color w:val="000000"/>
          <w:sz w:val="24"/>
          <w:szCs w:val="24"/>
        </w:rPr>
        <w:t xml:space="preserve"> том числе на образование- 609 181,6 тыс. рублей, культуру, кинематографию- 24 764,6 тыс. рублей, социальную политику- 121 398,7 тыс. рублей, физическую культуру и спорт- 7 495,6 тыс. рублей.</w:t>
      </w:r>
    </w:p>
    <w:p w:rsidR="0044248B" w:rsidRDefault="009469CC">
      <w:r>
        <w:rPr>
          <w:rFonts w:ascii="Times New Roman" w:eastAsia="Times New Roman" w:hAnsi="Times New Roman" w:cs="Times New Roman"/>
          <w:color w:val="000000"/>
          <w:sz w:val="24"/>
          <w:szCs w:val="24"/>
        </w:rPr>
        <w:t>        В структуре расходов бюджета муниципального района наибольший удельный вес занимают расходы на образование- 65,1% и социальную политику- 13,0%.</w:t>
      </w:r>
    </w:p>
    <w:p w:rsidR="0044248B" w:rsidRDefault="009469CC">
      <w:pPr>
        <w:spacing w:beforeAutospacing="1" w:afterAutospacing="1"/>
        <w:ind w:firstLine="700"/>
        <w:jc w:val="both"/>
      </w:pPr>
      <w:r>
        <w:rPr>
          <w:rFonts w:ascii="Times New Roman" w:eastAsia="Times New Roman" w:hAnsi="Times New Roman" w:cs="Times New Roman"/>
          <w:color w:val="000000"/>
          <w:sz w:val="24"/>
          <w:szCs w:val="24"/>
        </w:rPr>
        <w:t> </w:t>
      </w:r>
    </w:p>
    <w:p w:rsidR="0044248B" w:rsidRDefault="009469CC">
      <w:pPr>
        <w:spacing w:before="240" w:after="240"/>
        <w:jc w:val="both"/>
      </w:pPr>
      <w:r>
        <w:rPr>
          <w:rFonts w:ascii="Times New Roman" w:eastAsia="Times New Roman" w:hAnsi="Times New Roman" w:cs="Times New Roman"/>
          <w:color w:val="000000"/>
          <w:sz w:val="24"/>
          <w:szCs w:val="24"/>
        </w:rPr>
        <w:t xml:space="preserve">    </w:t>
      </w:r>
      <w:r>
        <w:rPr>
          <w:rFonts w:ascii="Calibri" w:eastAsia="Calibri" w:hAnsi="Calibri" w:cs="Calibri"/>
          <w:b/>
          <w:color w:val="000000"/>
          <w:sz w:val="26"/>
          <w:szCs w:val="26"/>
        </w:rPr>
        <w:t>Раздел 3 «Анализ отчета об исполнении бюджета субъектом бюджетной отчетности»</w:t>
      </w:r>
    </w:p>
    <w:p w:rsidR="0044248B" w:rsidRDefault="009469CC">
      <w:pPr>
        <w:spacing w:beforeAutospacing="1" w:afterAutospacing="1"/>
        <w:ind w:firstLine="700"/>
        <w:jc w:val="both"/>
      </w:pPr>
      <w:r>
        <w:rPr>
          <w:rFonts w:ascii="Times New Roman" w:eastAsia="Times New Roman" w:hAnsi="Times New Roman" w:cs="Times New Roman"/>
          <w:color w:val="000000"/>
          <w:sz w:val="24"/>
          <w:szCs w:val="24"/>
        </w:rPr>
        <w:t>представлен в форме 0503164 Сведения об исполнении бюджета.</w:t>
      </w:r>
    </w:p>
    <w:p w:rsidR="0044248B" w:rsidRDefault="009469CC">
      <w:pPr>
        <w:spacing w:beforeAutospacing="1" w:afterAutospacing="1"/>
        <w:ind w:firstLine="700"/>
        <w:jc w:val="both"/>
      </w:pPr>
      <w:r>
        <w:rPr>
          <w:rFonts w:ascii="Calibri" w:eastAsia="Calibri" w:hAnsi="Calibri" w:cs="Calibri"/>
          <w:b/>
          <w:color w:val="000000"/>
          <w:sz w:val="26"/>
          <w:szCs w:val="26"/>
        </w:rPr>
        <w:t> </w:t>
      </w:r>
    </w:p>
    <w:p w:rsidR="0044248B" w:rsidRDefault="009469CC">
      <w:pPr>
        <w:spacing w:beforeAutospacing="1" w:afterAutospacing="1"/>
        <w:ind w:firstLine="700"/>
        <w:jc w:val="both"/>
      </w:pPr>
      <w:r>
        <w:rPr>
          <w:rFonts w:ascii="Calibri" w:eastAsia="Calibri" w:hAnsi="Calibri" w:cs="Calibri"/>
          <w:b/>
          <w:color w:val="000000"/>
          <w:sz w:val="26"/>
          <w:szCs w:val="26"/>
        </w:rPr>
        <w:t xml:space="preserve">Раздел 4 «Анализ показателей бухгалтерской отчетности субъекта бюджетной отчетности» </w:t>
      </w:r>
    </w:p>
    <w:p w:rsidR="0044248B" w:rsidRDefault="009469CC">
      <w:pPr>
        <w:spacing w:before="240" w:after="240"/>
        <w:jc w:val="both"/>
      </w:pPr>
      <w:r>
        <w:rPr>
          <w:rFonts w:ascii="Times New Roman" w:eastAsia="Times New Roman" w:hAnsi="Times New Roman" w:cs="Times New Roman"/>
          <w:color w:val="000000"/>
          <w:sz w:val="24"/>
          <w:szCs w:val="24"/>
        </w:rPr>
        <w:t>         Отчетность за 2022 год сформирована с учетом положений Приказа Минфина РФ от 28 декабря 2010 г.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(с изменениями и дополнениями), совместного письма Министерства финансов Российской Федерации и Федерального казначейства от 12.12.2022 №02-06-07/121658, №07-04-05/02-31108 "О дополнительных критериях по раскрытию информации при составлении и предоставлении годовой бюджетной отчетности, годовой консолидированной бухгалтерской отчетности государственных (муниципальных) бюджетных и автономных учреждений финансовыми органами субъектов Российской Федерации и органами управления государственными внебюджетными фондами Российской Федерации за 2022год</w:t>
      </w:r>
      <w:r>
        <w:rPr>
          <w:rFonts w:ascii="Calibri" w:eastAsia="Calibri" w:hAnsi="Calibri" w:cs="Calibri"/>
          <w:color w:val="000000"/>
          <w:sz w:val="24"/>
          <w:szCs w:val="24"/>
        </w:rPr>
        <w:t>"</w:t>
      </w:r>
      <w:r>
        <w:rPr>
          <w:rFonts w:ascii="Times New Roman" w:eastAsia="Times New Roman" w:hAnsi="Times New Roman" w:cs="Times New Roman"/>
          <w:color w:val="000000"/>
          <w:sz w:val="24"/>
          <w:szCs w:val="24"/>
        </w:rPr>
        <w:t xml:space="preserve">, Приказа Министерства финансов Калужской области от 16.12.2022 № 480, письма Министерства финансов Калужской области от 21.12.2022 г. № 07-03-23/1417-22. </w:t>
      </w:r>
    </w:p>
    <w:p w:rsidR="0044248B" w:rsidRDefault="009469CC">
      <w:pPr>
        <w:spacing w:before="240" w:after="240"/>
        <w:jc w:val="both"/>
      </w:pPr>
      <w:r>
        <w:rPr>
          <w:rFonts w:ascii="Times New Roman" w:eastAsia="Times New Roman" w:hAnsi="Times New Roman" w:cs="Times New Roman"/>
          <w:color w:val="000000"/>
          <w:sz w:val="24"/>
          <w:szCs w:val="24"/>
        </w:rPr>
        <w:lastRenderedPageBreak/>
        <w:t>   В состав годовой отчетности не включены формы: 0503167G Сведения о целевых иностранных кредитах, 0503172G Сведения о государственном (муниципальном) долге, предоставленных бюджетных кредитах, 0503174G Сведения о доходах бюджета от перечисления части прибыли (</w:t>
      </w:r>
      <w:r w:rsidR="0086144C">
        <w:rPr>
          <w:rFonts w:ascii="Times New Roman" w:eastAsia="Times New Roman" w:hAnsi="Times New Roman" w:cs="Times New Roman"/>
          <w:color w:val="000000"/>
          <w:sz w:val="24"/>
          <w:szCs w:val="24"/>
        </w:rPr>
        <w:t>дивидендов</w:t>
      </w:r>
      <w:r>
        <w:rPr>
          <w:rFonts w:ascii="Times New Roman" w:eastAsia="Times New Roman" w:hAnsi="Times New Roman" w:cs="Times New Roman"/>
          <w:color w:val="000000"/>
          <w:sz w:val="24"/>
          <w:szCs w:val="24"/>
        </w:rPr>
        <w:t>) государственных (муниципальных) унитарных предприятий, иных организаций с государственным участием в капитале, 0503178G_Б Сведения об остатках денежных средств на счетах получателя бюджетных средства (бюджетная), 0503296 Сведения об исполнении судебных решений по денежным  обязательствам- в связи с отсутствием числовых показателей. Также отсутствуют данные в форме 0503160G_т.1, так как в отчетном периоде коды по ОКВЭД в муниципальных учреждениях района не изменялись и в ф</w:t>
      </w:r>
      <w:r w:rsidR="0086144C">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z w:val="24"/>
          <w:szCs w:val="24"/>
        </w:rPr>
        <w:t>рме 0503160G_т.6, так как расхождений по результатам проведенных инвентаризаций не выявлено.</w:t>
      </w:r>
    </w:p>
    <w:p w:rsidR="0044248B" w:rsidRDefault="009469CC">
      <w:pPr>
        <w:spacing w:before="240" w:after="240"/>
        <w:jc w:val="both"/>
      </w:pPr>
      <w:r>
        <w:rPr>
          <w:rFonts w:ascii="Calibri" w:eastAsia="Calibri" w:hAnsi="Calibri" w:cs="Calibri"/>
          <w:b/>
          <w:color w:val="000000"/>
          <w:sz w:val="26"/>
          <w:szCs w:val="26"/>
        </w:rPr>
        <w:t xml:space="preserve">Раздел 5 «Прочие вопросы деятельности субъекта бюджетной отчетности» </w:t>
      </w:r>
      <w:r>
        <w:rPr>
          <w:rFonts w:ascii="Times New Roman" w:eastAsia="Times New Roman" w:hAnsi="Times New Roman" w:cs="Times New Roman"/>
          <w:color w:val="000000"/>
          <w:sz w:val="24"/>
          <w:szCs w:val="24"/>
        </w:rPr>
        <w:t xml:space="preserve">  </w:t>
      </w:r>
    </w:p>
    <w:p w:rsidR="0044248B" w:rsidRDefault="009469CC">
      <w:pPr>
        <w:spacing w:before="240" w:after="240"/>
        <w:jc w:val="both"/>
      </w:pPr>
      <w:r>
        <w:rPr>
          <w:rFonts w:ascii="Times New Roman" w:eastAsia="Times New Roman" w:hAnsi="Times New Roman" w:cs="Times New Roman"/>
          <w:color w:val="000000"/>
          <w:sz w:val="24"/>
          <w:szCs w:val="24"/>
        </w:rPr>
        <w:t>        В доходной части бюджета муниципального района "Мещовский район" на отчетную дату по КБК 000 1 17 01000 00 0000 180 "Невыясненные поступления" данные отсутствую</w:t>
      </w:r>
      <w:r>
        <w:rPr>
          <w:rFonts w:ascii="Calibri" w:eastAsia="Calibri" w:hAnsi="Calibri" w:cs="Calibri"/>
          <w:color w:val="000000"/>
          <w:sz w:val="24"/>
          <w:szCs w:val="24"/>
        </w:rPr>
        <w:t>т.</w:t>
      </w:r>
      <w:r>
        <w:rPr>
          <w:rFonts w:ascii="Times New Roman" w:eastAsia="Times New Roman" w:hAnsi="Times New Roman" w:cs="Times New Roman"/>
          <w:color w:val="000000"/>
          <w:sz w:val="24"/>
          <w:szCs w:val="24"/>
        </w:rPr>
        <w:t xml:space="preserve"> </w:t>
      </w:r>
    </w:p>
    <w:p w:rsidR="0044248B" w:rsidRDefault="009469CC">
      <w:pPr>
        <w:spacing w:before="240" w:after="240"/>
      </w:pPr>
      <w:r>
        <w:rPr>
          <w:rFonts w:ascii="Times New Roman" w:eastAsia="Times New Roman" w:hAnsi="Times New Roman" w:cs="Times New Roman"/>
          <w:color w:val="000000"/>
          <w:sz w:val="24"/>
          <w:szCs w:val="24"/>
        </w:rPr>
        <w:t>       </w:t>
      </w:r>
    </w:p>
    <w:p w:rsidR="0044248B" w:rsidRDefault="009469CC">
      <w:r>
        <w:rPr>
          <w:rFonts w:ascii="Times New Roman" w:eastAsia="Times New Roman" w:hAnsi="Times New Roman" w:cs="Times New Roman"/>
          <w:color w:val="000000"/>
          <w:sz w:val="24"/>
          <w:szCs w:val="24"/>
        </w:rPr>
        <w:t>      </w:t>
      </w:r>
    </w:p>
    <w:tbl>
      <w:tblPr>
        <w:tblW w:w="9380" w:type="dxa"/>
        <w:tblInd w:w="96" w:type="dxa"/>
        <w:tblBorders>
          <w:top w:val="nil"/>
          <w:left w:val="nil"/>
          <w:bottom w:val="nil"/>
          <w:right w:val="nil"/>
        </w:tblBorders>
        <w:tblCellMar>
          <w:left w:w="0" w:type="dxa"/>
          <w:right w:w="0" w:type="dxa"/>
        </w:tblCellMar>
        <w:tblLook w:val="04A0" w:firstRow="1" w:lastRow="0" w:firstColumn="1" w:lastColumn="0" w:noHBand="0" w:noVBand="1"/>
      </w:tblPr>
      <w:tblGrid>
        <w:gridCol w:w="3570"/>
        <w:gridCol w:w="1947"/>
        <w:gridCol w:w="3863"/>
      </w:tblGrid>
      <w:tr w:rsidR="0044248B">
        <w:tc>
          <w:tcPr>
            <w:tcW w:w="3570" w:type="dxa"/>
            <w:tcMar>
              <w:top w:w="0" w:type="dxa"/>
              <w:left w:w="108" w:type="dxa"/>
              <w:bottom w:w="0" w:type="dxa"/>
              <w:right w:w="108" w:type="dxa"/>
            </w:tcMar>
            <w:vAlign w:val="center"/>
            <w:hideMark/>
          </w:tcPr>
          <w:p w:rsidR="0044248B" w:rsidRPr="009469CC" w:rsidRDefault="009469CC">
            <w:pPr>
              <w:rPr>
                <w:rFonts w:ascii="Times New Roman" w:eastAsia="Times New Roman" w:hAnsi="Times New Roman" w:cs="Times New Roman"/>
                <w:b/>
                <w:bCs/>
                <w:sz w:val="24"/>
                <w:szCs w:val="24"/>
              </w:rPr>
            </w:pPr>
            <w:r w:rsidRPr="009469CC">
              <w:rPr>
                <w:rFonts w:ascii="Times New Roman" w:eastAsia="Times New Roman" w:hAnsi="Times New Roman" w:cs="Times New Roman"/>
                <w:b/>
                <w:bCs/>
                <w:sz w:val="24"/>
                <w:szCs w:val="24"/>
              </w:rPr>
              <w:t>Руководитель</w:t>
            </w:r>
          </w:p>
        </w:tc>
        <w:tc>
          <w:tcPr>
            <w:tcW w:w="2040" w:type="dxa"/>
            <w:tcMar>
              <w:top w:w="0" w:type="dxa"/>
              <w:left w:w="108" w:type="dxa"/>
              <w:bottom w:w="0" w:type="dxa"/>
              <w:right w:w="108" w:type="dxa"/>
            </w:tcMar>
            <w:vAlign w:val="center"/>
            <w:hideMark/>
          </w:tcPr>
          <w:p w:rsidR="0044248B" w:rsidRPr="009469CC" w:rsidRDefault="0044248B">
            <w:pPr>
              <w:rPr>
                <w:sz w:val="24"/>
                <w:szCs w:val="24"/>
              </w:rPr>
            </w:pPr>
          </w:p>
        </w:tc>
        <w:tc>
          <w:tcPr>
            <w:tcW w:w="0" w:type="auto"/>
            <w:tcMar>
              <w:top w:w="0" w:type="dxa"/>
              <w:left w:w="108" w:type="dxa"/>
              <w:bottom w:w="0" w:type="dxa"/>
              <w:right w:w="108" w:type="dxa"/>
            </w:tcMar>
            <w:vAlign w:val="center"/>
            <w:hideMark/>
          </w:tcPr>
          <w:p w:rsidR="0044248B" w:rsidRPr="009469CC" w:rsidRDefault="009469CC">
            <w:pPr>
              <w:jc w:val="center"/>
              <w:rPr>
                <w:rFonts w:ascii="Times New Roman" w:eastAsia="Times New Roman" w:hAnsi="Times New Roman" w:cs="Times New Roman"/>
                <w:b/>
                <w:bCs/>
                <w:sz w:val="24"/>
                <w:szCs w:val="24"/>
              </w:rPr>
            </w:pPr>
            <w:r w:rsidRPr="009469CC">
              <w:rPr>
                <w:rFonts w:ascii="Times New Roman" w:eastAsia="Times New Roman" w:hAnsi="Times New Roman" w:cs="Times New Roman"/>
                <w:b/>
                <w:bCs/>
                <w:sz w:val="24"/>
                <w:szCs w:val="24"/>
                <w:u w:val="single"/>
              </w:rPr>
              <w:t>Анна Афанасьевна Зверева</w:t>
            </w:r>
          </w:p>
        </w:tc>
      </w:tr>
      <w:tr w:rsidR="0044248B">
        <w:trPr>
          <w:trHeight w:val="280"/>
        </w:trPr>
        <w:tc>
          <w:tcPr>
            <w:tcW w:w="3570" w:type="dxa"/>
            <w:noWrap/>
            <w:tcMar>
              <w:top w:w="0" w:type="dxa"/>
              <w:left w:w="108" w:type="dxa"/>
              <w:bottom w:w="0" w:type="dxa"/>
              <w:right w:w="108" w:type="dxa"/>
            </w:tcMar>
            <w:vAlign w:val="bottom"/>
            <w:hideMark/>
          </w:tcPr>
          <w:p w:rsidR="0044248B" w:rsidRPr="009469CC" w:rsidRDefault="0044248B">
            <w:pPr>
              <w:rPr>
                <w:sz w:val="24"/>
                <w:szCs w:val="24"/>
              </w:rPr>
            </w:pPr>
          </w:p>
        </w:tc>
        <w:tc>
          <w:tcPr>
            <w:tcW w:w="2040" w:type="dxa"/>
            <w:tcMar>
              <w:top w:w="0" w:type="dxa"/>
              <w:left w:w="108" w:type="dxa"/>
              <w:bottom w:w="0" w:type="dxa"/>
              <w:right w:w="108" w:type="dxa"/>
            </w:tcMar>
            <w:vAlign w:val="center"/>
            <w:hideMark/>
          </w:tcPr>
          <w:p w:rsidR="0044248B" w:rsidRPr="009469CC" w:rsidRDefault="009469CC">
            <w:pPr>
              <w:jc w:val="center"/>
              <w:rPr>
                <w:rFonts w:ascii="Times New Roman" w:eastAsia="Times New Roman" w:hAnsi="Times New Roman" w:cs="Times New Roman"/>
                <w:sz w:val="24"/>
                <w:szCs w:val="24"/>
              </w:rPr>
            </w:pPr>
            <w:r w:rsidRPr="009469CC">
              <w:rPr>
                <w:rFonts w:ascii="Times New Roman" w:eastAsia="Times New Roman" w:hAnsi="Times New Roman" w:cs="Times New Roman"/>
                <w:sz w:val="24"/>
                <w:szCs w:val="24"/>
              </w:rPr>
              <w:t>(подпись)</w:t>
            </w:r>
          </w:p>
        </w:tc>
        <w:tc>
          <w:tcPr>
            <w:tcW w:w="0" w:type="auto"/>
            <w:tcMar>
              <w:top w:w="0" w:type="dxa"/>
              <w:left w:w="108" w:type="dxa"/>
              <w:bottom w:w="0" w:type="dxa"/>
              <w:right w:w="108" w:type="dxa"/>
            </w:tcMar>
            <w:vAlign w:val="center"/>
            <w:hideMark/>
          </w:tcPr>
          <w:p w:rsidR="0044248B" w:rsidRPr="009469CC" w:rsidRDefault="009469CC">
            <w:pPr>
              <w:jc w:val="center"/>
              <w:rPr>
                <w:rFonts w:ascii="Times New Roman" w:eastAsia="Times New Roman" w:hAnsi="Times New Roman" w:cs="Times New Roman"/>
                <w:sz w:val="24"/>
                <w:szCs w:val="24"/>
              </w:rPr>
            </w:pPr>
            <w:r w:rsidRPr="009469CC">
              <w:rPr>
                <w:rFonts w:ascii="Times New Roman" w:eastAsia="Times New Roman" w:hAnsi="Times New Roman" w:cs="Times New Roman"/>
                <w:sz w:val="24"/>
                <w:szCs w:val="24"/>
              </w:rPr>
              <w:t>(расшифровка подписи)</w:t>
            </w:r>
          </w:p>
        </w:tc>
      </w:tr>
      <w:tr w:rsidR="0044248B">
        <w:trPr>
          <w:trHeight w:val="281"/>
        </w:trPr>
        <w:tc>
          <w:tcPr>
            <w:tcW w:w="0" w:type="auto"/>
            <w:gridSpan w:val="3"/>
            <w:noWrap/>
            <w:tcMar>
              <w:top w:w="0" w:type="dxa"/>
              <w:left w:w="108" w:type="dxa"/>
              <w:bottom w:w="0" w:type="dxa"/>
              <w:right w:w="108" w:type="dxa"/>
            </w:tcMar>
            <w:vAlign w:val="bottom"/>
            <w:hideMark/>
          </w:tcPr>
          <w:p w:rsidR="0044248B" w:rsidRPr="009469CC" w:rsidRDefault="009469CC">
            <w:pPr>
              <w:rPr>
                <w:rFonts w:ascii="Times New Roman" w:eastAsia="Times New Roman" w:hAnsi="Times New Roman" w:cs="Times New Roman"/>
                <w:sz w:val="24"/>
                <w:szCs w:val="24"/>
              </w:rPr>
            </w:pPr>
            <w:r w:rsidRPr="009469CC">
              <w:rPr>
                <w:rFonts w:ascii="Times New Roman" w:eastAsia="Times New Roman" w:hAnsi="Times New Roman" w:cs="Times New Roman"/>
                <w:sz w:val="24"/>
                <w:szCs w:val="24"/>
              </w:rPr>
              <w:t> </w:t>
            </w:r>
          </w:p>
        </w:tc>
      </w:tr>
      <w:tr w:rsidR="0044248B" w:rsidTr="0086144C">
        <w:trPr>
          <w:trHeight w:val="281"/>
        </w:trPr>
        <w:tc>
          <w:tcPr>
            <w:tcW w:w="3570" w:type="dxa"/>
            <w:tcMar>
              <w:top w:w="0" w:type="dxa"/>
              <w:left w:w="108" w:type="dxa"/>
              <w:bottom w:w="0" w:type="dxa"/>
              <w:right w:w="108" w:type="dxa"/>
            </w:tcMar>
            <w:vAlign w:val="center"/>
          </w:tcPr>
          <w:p w:rsidR="0044248B" w:rsidRPr="009469CC" w:rsidRDefault="0044248B">
            <w:pPr>
              <w:rPr>
                <w:rFonts w:ascii="Times New Roman" w:eastAsia="Times New Roman" w:hAnsi="Times New Roman" w:cs="Times New Roman"/>
                <w:sz w:val="24"/>
                <w:szCs w:val="24"/>
              </w:rPr>
            </w:pPr>
          </w:p>
        </w:tc>
        <w:tc>
          <w:tcPr>
            <w:tcW w:w="2040" w:type="dxa"/>
            <w:tcMar>
              <w:top w:w="0" w:type="dxa"/>
              <w:left w:w="108" w:type="dxa"/>
              <w:bottom w:w="0" w:type="dxa"/>
              <w:right w:w="108" w:type="dxa"/>
            </w:tcMar>
            <w:vAlign w:val="center"/>
          </w:tcPr>
          <w:p w:rsidR="0044248B" w:rsidRPr="009469CC" w:rsidRDefault="0044248B">
            <w:pPr>
              <w:rPr>
                <w:sz w:val="24"/>
                <w:szCs w:val="24"/>
              </w:rPr>
            </w:pPr>
          </w:p>
        </w:tc>
        <w:tc>
          <w:tcPr>
            <w:tcW w:w="0" w:type="auto"/>
            <w:tcMar>
              <w:top w:w="0" w:type="dxa"/>
              <w:left w:w="108" w:type="dxa"/>
              <w:bottom w:w="0" w:type="dxa"/>
              <w:right w:w="108" w:type="dxa"/>
            </w:tcMar>
            <w:vAlign w:val="center"/>
          </w:tcPr>
          <w:p w:rsidR="0044248B" w:rsidRPr="009469CC" w:rsidRDefault="0044248B">
            <w:pPr>
              <w:rPr>
                <w:sz w:val="24"/>
                <w:szCs w:val="24"/>
              </w:rPr>
            </w:pPr>
          </w:p>
        </w:tc>
      </w:tr>
      <w:tr w:rsidR="0044248B" w:rsidTr="0086144C">
        <w:trPr>
          <w:trHeight w:val="281"/>
        </w:trPr>
        <w:tc>
          <w:tcPr>
            <w:tcW w:w="3570" w:type="dxa"/>
            <w:tcMar>
              <w:top w:w="0" w:type="dxa"/>
              <w:left w:w="108" w:type="dxa"/>
              <w:bottom w:w="0" w:type="dxa"/>
              <w:right w:w="108" w:type="dxa"/>
            </w:tcMar>
            <w:vAlign w:val="center"/>
          </w:tcPr>
          <w:p w:rsidR="0044248B" w:rsidRPr="009469CC" w:rsidRDefault="0044248B">
            <w:pPr>
              <w:rPr>
                <w:rFonts w:ascii="Times New Roman" w:eastAsia="Times New Roman" w:hAnsi="Times New Roman" w:cs="Times New Roman"/>
                <w:sz w:val="24"/>
                <w:szCs w:val="24"/>
              </w:rPr>
            </w:pPr>
          </w:p>
        </w:tc>
        <w:tc>
          <w:tcPr>
            <w:tcW w:w="2040" w:type="dxa"/>
            <w:tcMar>
              <w:top w:w="0" w:type="dxa"/>
              <w:left w:w="108" w:type="dxa"/>
              <w:bottom w:w="0" w:type="dxa"/>
              <w:right w:w="108" w:type="dxa"/>
            </w:tcMar>
            <w:vAlign w:val="center"/>
          </w:tcPr>
          <w:p w:rsidR="0044248B" w:rsidRPr="009469CC" w:rsidRDefault="0044248B">
            <w:pPr>
              <w:jc w:val="center"/>
              <w:rPr>
                <w:rFonts w:ascii="Times New Roman" w:eastAsia="Times New Roman" w:hAnsi="Times New Roman" w:cs="Times New Roman"/>
                <w:sz w:val="24"/>
                <w:szCs w:val="24"/>
              </w:rPr>
            </w:pPr>
          </w:p>
        </w:tc>
        <w:tc>
          <w:tcPr>
            <w:tcW w:w="0" w:type="auto"/>
            <w:tcMar>
              <w:top w:w="0" w:type="dxa"/>
              <w:left w:w="108" w:type="dxa"/>
              <w:bottom w:w="0" w:type="dxa"/>
              <w:right w:w="108" w:type="dxa"/>
            </w:tcMar>
            <w:vAlign w:val="center"/>
          </w:tcPr>
          <w:p w:rsidR="0044248B" w:rsidRPr="009469CC" w:rsidRDefault="0044248B">
            <w:pPr>
              <w:jc w:val="center"/>
              <w:rPr>
                <w:rFonts w:ascii="Times New Roman" w:eastAsia="Times New Roman" w:hAnsi="Times New Roman" w:cs="Times New Roman"/>
                <w:sz w:val="24"/>
                <w:szCs w:val="24"/>
              </w:rPr>
            </w:pPr>
          </w:p>
        </w:tc>
      </w:tr>
      <w:tr w:rsidR="0044248B" w:rsidTr="0086144C">
        <w:trPr>
          <w:trHeight w:val="281"/>
        </w:trPr>
        <w:tc>
          <w:tcPr>
            <w:tcW w:w="0" w:type="auto"/>
            <w:gridSpan w:val="3"/>
            <w:noWrap/>
            <w:tcMar>
              <w:top w:w="0" w:type="dxa"/>
              <w:left w:w="108" w:type="dxa"/>
              <w:bottom w:w="0" w:type="dxa"/>
              <w:right w:w="108" w:type="dxa"/>
            </w:tcMar>
            <w:vAlign w:val="bottom"/>
          </w:tcPr>
          <w:p w:rsidR="0044248B" w:rsidRPr="009469CC" w:rsidRDefault="0044248B">
            <w:pPr>
              <w:rPr>
                <w:sz w:val="24"/>
                <w:szCs w:val="24"/>
              </w:rPr>
            </w:pPr>
          </w:p>
        </w:tc>
      </w:tr>
      <w:tr w:rsidR="0044248B">
        <w:trPr>
          <w:trHeight w:val="281"/>
        </w:trPr>
        <w:tc>
          <w:tcPr>
            <w:tcW w:w="3570" w:type="dxa"/>
            <w:tcMar>
              <w:top w:w="0" w:type="dxa"/>
              <w:left w:w="108" w:type="dxa"/>
              <w:bottom w:w="0" w:type="dxa"/>
              <w:right w:w="108" w:type="dxa"/>
            </w:tcMar>
            <w:vAlign w:val="center"/>
            <w:hideMark/>
          </w:tcPr>
          <w:p w:rsidR="0044248B" w:rsidRPr="009469CC" w:rsidRDefault="009469CC">
            <w:pPr>
              <w:rPr>
                <w:rFonts w:ascii="Times New Roman" w:eastAsia="Times New Roman" w:hAnsi="Times New Roman" w:cs="Times New Roman"/>
                <w:b/>
                <w:bCs/>
                <w:sz w:val="24"/>
                <w:szCs w:val="24"/>
              </w:rPr>
            </w:pPr>
            <w:r w:rsidRPr="009469CC">
              <w:rPr>
                <w:rFonts w:ascii="Times New Roman" w:eastAsia="Times New Roman" w:hAnsi="Times New Roman" w:cs="Times New Roman"/>
                <w:b/>
                <w:bCs/>
                <w:sz w:val="24"/>
                <w:szCs w:val="24"/>
              </w:rPr>
              <w:t>Главный</w:t>
            </w:r>
          </w:p>
        </w:tc>
        <w:tc>
          <w:tcPr>
            <w:tcW w:w="2040" w:type="dxa"/>
            <w:tcMar>
              <w:top w:w="0" w:type="dxa"/>
              <w:left w:w="108" w:type="dxa"/>
              <w:bottom w:w="0" w:type="dxa"/>
              <w:right w:w="108" w:type="dxa"/>
            </w:tcMar>
            <w:vAlign w:val="center"/>
            <w:hideMark/>
          </w:tcPr>
          <w:p w:rsidR="0044248B" w:rsidRPr="009469CC" w:rsidRDefault="0044248B">
            <w:pPr>
              <w:rPr>
                <w:sz w:val="24"/>
                <w:szCs w:val="24"/>
              </w:rPr>
            </w:pPr>
          </w:p>
        </w:tc>
        <w:tc>
          <w:tcPr>
            <w:tcW w:w="0" w:type="auto"/>
            <w:noWrap/>
            <w:tcMar>
              <w:top w:w="0" w:type="dxa"/>
              <w:left w:w="108" w:type="dxa"/>
              <w:bottom w:w="0" w:type="dxa"/>
              <w:right w:w="108" w:type="dxa"/>
            </w:tcMar>
            <w:vAlign w:val="bottom"/>
            <w:hideMark/>
          </w:tcPr>
          <w:p w:rsidR="0044248B" w:rsidRPr="009469CC" w:rsidRDefault="009469CC">
            <w:pPr>
              <w:jc w:val="center"/>
              <w:rPr>
                <w:rFonts w:ascii="Times New Roman" w:eastAsia="Times New Roman" w:hAnsi="Times New Roman" w:cs="Times New Roman"/>
                <w:b/>
                <w:bCs/>
                <w:sz w:val="24"/>
                <w:szCs w:val="24"/>
              </w:rPr>
            </w:pPr>
            <w:r w:rsidRPr="009469CC">
              <w:rPr>
                <w:rFonts w:ascii="Times New Roman" w:eastAsia="Times New Roman" w:hAnsi="Times New Roman" w:cs="Times New Roman"/>
                <w:b/>
                <w:bCs/>
                <w:sz w:val="24"/>
                <w:szCs w:val="24"/>
                <w:u w:val="single"/>
              </w:rPr>
              <w:t>Наталья Владимировна Мурзина</w:t>
            </w:r>
          </w:p>
        </w:tc>
      </w:tr>
      <w:tr w:rsidR="0044248B">
        <w:trPr>
          <w:trHeight w:val="281"/>
        </w:trPr>
        <w:tc>
          <w:tcPr>
            <w:tcW w:w="3570" w:type="dxa"/>
            <w:tcMar>
              <w:top w:w="0" w:type="dxa"/>
              <w:left w:w="108" w:type="dxa"/>
              <w:bottom w:w="0" w:type="dxa"/>
              <w:right w:w="108" w:type="dxa"/>
            </w:tcMar>
            <w:vAlign w:val="center"/>
            <w:hideMark/>
          </w:tcPr>
          <w:p w:rsidR="0044248B" w:rsidRPr="009469CC" w:rsidRDefault="009469CC">
            <w:pPr>
              <w:rPr>
                <w:rFonts w:ascii="Times New Roman" w:eastAsia="Times New Roman" w:hAnsi="Times New Roman" w:cs="Times New Roman"/>
                <w:b/>
                <w:bCs/>
                <w:sz w:val="24"/>
                <w:szCs w:val="24"/>
              </w:rPr>
            </w:pPr>
            <w:r w:rsidRPr="009469CC">
              <w:rPr>
                <w:rFonts w:ascii="Times New Roman" w:eastAsia="Times New Roman" w:hAnsi="Times New Roman" w:cs="Times New Roman"/>
                <w:b/>
                <w:bCs/>
                <w:sz w:val="24"/>
                <w:szCs w:val="24"/>
              </w:rPr>
              <w:t>бухгалтер</w:t>
            </w:r>
          </w:p>
        </w:tc>
        <w:tc>
          <w:tcPr>
            <w:tcW w:w="2040" w:type="dxa"/>
            <w:tcMar>
              <w:top w:w="0" w:type="dxa"/>
              <w:left w:w="108" w:type="dxa"/>
              <w:bottom w:w="0" w:type="dxa"/>
              <w:right w:w="108" w:type="dxa"/>
            </w:tcMar>
            <w:vAlign w:val="center"/>
            <w:hideMark/>
          </w:tcPr>
          <w:p w:rsidR="0044248B" w:rsidRPr="009469CC" w:rsidRDefault="009469CC">
            <w:pPr>
              <w:jc w:val="center"/>
              <w:rPr>
                <w:rFonts w:ascii="Times New Roman" w:eastAsia="Times New Roman" w:hAnsi="Times New Roman" w:cs="Times New Roman"/>
                <w:sz w:val="24"/>
                <w:szCs w:val="24"/>
              </w:rPr>
            </w:pPr>
            <w:r w:rsidRPr="009469CC">
              <w:rPr>
                <w:rFonts w:ascii="Times New Roman" w:eastAsia="Times New Roman" w:hAnsi="Times New Roman" w:cs="Times New Roman"/>
                <w:sz w:val="24"/>
                <w:szCs w:val="24"/>
              </w:rPr>
              <w:t>(подпись)</w:t>
            </w:r>
          </w:p>
        </w:tc>
        <w:tc>
          <w:tcPr>
            <w:tcW w:w="0" w:type="auto"/>
            <w:tcMar>
              <w:top w:w="0" w:type="dxa"/>
              <w:left w:w="108" w:type="dxa"/>
              <w:bottom w:w="0" w:type="dxa"/>
              <w:right w:w="108" w:type="dxa"/>
            </w:tcMar>
            <w:vAlign w:val="center"/>
            <w:hideMark/>
          </w:tcPr>
          <w:p w:rsidR="0044248B" w:rsidRPr="009469CC" w:rsidRDefault="009469CC">
            <w:pPr>
              <w:jc w:val="center"/>
              <w:rPr>
                <w:rFonts w:ascii="Times New Roman" w:eastAsia="Times New Roman" w:hAnsi="Times New Roman" w:cs="Times New Roman"/>
                <w:sz w:val="24"/>
                <w:szCs w:val="24"/>
              </w:rPr>
            </w:pPr>
            <w:r w:rsidRPr="009469CC">
              <w:rPr>
                <w:rFonts w:ascii="Times New Roman" w:eastAsia="Times New Roman" w:hAnsi="Times New Roman" w:cs="Times New Roman"/>
                <w:sz w:val="24"/>
                <w:szCs w:val="24"/>
              </w:rPr>
              <w:t>(расшифровка подписи)</w:t>
            </w:r>
          </w:p>
        </w:tc>
      </w:tr>
      <w:tr w:rsidR="0044248B">
        <w:trPr>
          <w:trHeight w:val="449"/>
        </w:trPr>
        <w:tc>
          <w:tcPr>
            <w:tcW w:w="3570" w:type="dxa"/>
            <w:tcMar>
              <w:top w:w="0" w:type="dxa"/>
              <w:left w:w="108" w:type="dxa"/>
              <w:bottom w:w="0" w:type="dxa"/>
              <w:right w:w="108" w:type="dxa"/>
            </w:tcMar>
            <w:vAlign w:val="center"/>
            <w:hideMark/>
          </w:tcPr>
          <w:p w:rsidR="0086144C" w:rsidRDefault="0086144C">
            <w:pPr>
              <w:rPr>
                <w:rFonts w:ascii="Times New Roman" w:eastAsia="Times New Roman" w:hAnsi="Times New Roman" w:cs="Times New Roman"/>
                <w:sz w:val="20"/>
                <w:szCs w:val="20"/>
              </w:rPr>
            </w:pPr>
          </w:p>
          <w:p w:rsidR="0086144C" w:rsidRDefault="0086144C">
            <w:pPr>
              <w:rPr>
                <w:rFonts w:ascii="Times New Roman" w:eastAsia="Times New Roman" w:hAnsi="Times New Roman" w:cs="Times New Roman"/>
                <w:sz w:val="20"/>
                <w:szCs w:val="20"/>
              </w:rPr>
            </w:pPr>
          </w:p>
          <w:p w:rsidR="0044248B" w:rsidRPr="009469CC" w:rsidRDefault="009469CC">
            <w:pPr>
              <w:rPr>
                <w:rFonts w:ascii="Times New Roman" w:eastAsia="Times New Roman" w:hAnsi="Times New Roman" w:cs="Times New Roman"/>
                <w:sz w:val="24"/>
                <w:szCs w:val="24"/>
              </w:rPr>
            </w:pPr>
            <w:r w:rsidRPr="009469CC">
              <w:rPr>
                <w:rFonts w:ascii="Times New Roman" w:eastAsia="Times New Roman" w:hAnsi="Times New Roman" w:cs="Times New Roman"/>
                <w:sz w:val="24"/>
                <w:szCs w:val="24"/>
              </w:rPr>
              <w:t>"</w:t>
            </w:r>
            <w:r w:rsidR="00F22311">
              <w:rPr>
                <w:rFonts w:ascii="Times New Roman" w:eastAsia="Times New Roman" w:hAnsi="Times New Roman" w:cs="Times New Roman"/>
                <w:sz w:val="24"/>
                <w:szCs w:val="24"/>
              </w:rPr>
              <w:t>20</w:t>
            </w:r>
            <w:r w:rsidRPr="009469CC">
              <w:rPr>
                <w:rFonts w:ascii="Times New Roman" w:eastAsia="Times New Roman" w:hAnsi="Times New Roman" w:cs="Times New Roman"/>
                <w:sz w:val="24"/>
                <w:szCs w:val="24"/>
              </w:rPr>
              <w:t>"   февраля 2023 г.</w:t>
            </w:r>
          </w:p>
        </w:tc>
        <w:tc>
          <w:tcPr>
            <w:tcW w:w="0" w:type="auto"/>
            <w:tcMar>
              <w:top w:w="0" w:type="dxa"/>
              <w:left w:w="108" w:type="dxa"/>
              <w:bottom w:w="0" w:type="dxa"/>
              <w:right w:w="108" w:type="dxa"/>
            </w:tcMar>
            <w:vAlign w:val="center"/>
            <w:hideMark/>
          </w:tcPr>
          <w:p w:rsidR="0044248B" w:rsidRDefault="0044248B">
            <w:pPr>
              <w:rPr>
                <w:sz w:val="24"/>
              </w:rPr>
            </w:pPr>
          </w:p>
        </w:tc>
        <w:tc>
          <w:tcPr>
            <w:tcW w:w="0" w:type="auto"/>
            <w:tcMar>
              <w:top w:w="0" w:type="dxa"/>
              <w:left w:w="108" w:type="dxa"/>
              <w:bottom w:w="0" w:type="dxa"/>
              <w:right w:w="108" w:type="dxa"/>
            </w:tcMar>
            <w:vAlign w:val="center"/>
            <w:hideMark/>
          </w:tcPr>
          <w:p w:rsidR="0044248B" w:rsidRDefault="0044248B">
            <w:pPr>
              <w:rPr>
                <w:sz w:val="24"/>
              </w:rPr>
            </w:pPr>
          </w:p>
        </w:tc>
      </w:tr>
    </w:tbl>
    <w:p w:rsidR="0044248B" w:rsidRDefault="009469C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F22311" w:rsidRDefault="00F22311">
      <w:r>
        <w:rPr>
          <w:noProof/>
        </w:rPr>
        <w:drawing>
          <wp:inline distT="0" distB="0" distL="0" distR="0" wp14:anchorId="2DC5F1F9" wp14:editId="1DE0A2D8">
            <wp:extent cx="2628900" cy="782955"/>
            <wp:effectExtent l="0" t="0" r="0" b="0"/>
            <wp:docPr id="2" name="Picture 1">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000-000002000000}"/>
                        </a:ext>
                      </a:extLst>
                    </pic:cNvPr>
                    <pic:cNvPicPr>
                      <a:picLocks noChangeAspect="1"/>
                    </pic:cNvPicPr>
                  </pic:nvPicPr>
                  <pic:blipFill>
                    <a:blip r:embed="rId4"/>
                    <a:stretch>
                      <a:fillRect/>
                    </a:stretch>
                  </pic:blipFill>
                  <pic:spPr>
                    <a:xfrm>
                      <a:off x="0" y="0"/>
                      <a:ext cx="2628900" cy="782955"/>
                    </a:xfrm>
                    <a:prstGeom prst="rect">
                      <a:avLst/>
                    </a:prstGeom>
                  </pic:spPr>
                </pic:pic>
              </a:graphicData>
            </a:graphic>
          </wp:inline>
        </w:drawing>
      </w:r>
    </w:p>
    <w:sectPr w:rsidR="00F22311">
      <w:pgSz w:w="15840" w:h="12240" w:orient="landscape"/>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48B"/>
    <w:rsid w:val="0044248B"/>
    <w:rsid w:val="008209FE"/>
    <w:rsid w:val="0086144C"/>
    <w:rsid w:val="009469CC"/>
    <w:rsid w:val="009A6E11"/>
    <w:rsid w:val="00F22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CF80117"/>
  <w15:docId w15:val="{6F194FCF-2299-4FD3-9FE4-2FC38CE32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1209</Words>
  <Characters>6894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Meshovsk15</dc:creator>
  <cp:lastModifiedBy>Meshovsk15</cp:lastModifiedBy>
  <cp:revision>4</cp:revision>
  <dcterms:created xsi:type="dcterms:W3CDTF">2023-02-28T08:42:00Z</dcterms:created>
  <dcterms:modified xsi:type="dcterms:W3CDTF">2023-02-28T09:38:00Z</dcterms:modified>
</cp:coreProperties>
</file>