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1672" w:rsidRDefault="00E77524" w:rsidP="00082FED">
      <w:pPr>
        <w:pStyle w:val="ConsPlusNormal"/>
        <w:ind w:left="-709" w:firstLine="709"/>
        <w:jc w:val="right"/>
        <w:outlineLvl w:val="0"/>
      </w:pPr>
      <w:r>
        <w:t xml:space="preserve">                                                                                                                                        </w:t>
      </w:r>
      <w:r w:rsidR="00FB1672">
        <w:t>Приложение</w:t>
      </w:r>
    </w:p>
    <w:p w:rsidR="00FB1672" w:rsidRDefault="00E77524" w:rsidP="00082FED">
      <w:pPr>
        <w:pStyle w:val="ConsPlusNormal"/>
        <w:jc w:val="right"/>
      </w:pPr>
      <w:r>
        <w:t xml:space="preserve">                                                                                                                                         </w:t>
      </w:r>
      <w:r w:rsidR="00FB1672">
        <w:t>к Постановлению</w:t>
      </w:r>
      <w:r>
        <w:t xml:space="preserve">                                                                                                                                         </w:t>
      </w:r>
      <w:r w:rsidR="00FB1672">
        <w:t>администрации</w:t>
      </w:r>
      <w:r>
        <w:t xml:space="preserve"> МР</w:t>
      </w:r>
      <w:r w:rsidR="00082FED">
        <w:t xml:space="preserve"> </w:t>
      </w:r>
      <w:r>
        <w:t>«Мещовский район</w:t>
      </w:r>
    </w:p>
    <w:p w:rsidR="00E77524" w:rsidRDefault="00E77524" w:rsidP="00082FED">
      <w:pPr>
        <w:pStyle w:val="ConsPlusNormal"/>
        <w:jc w:val="right"/>
      </w:pPr>
    </w:p>
    <w:p w:rsidR="00FB1672" w:rsidRDefault="00E77524" w:rsidP="009D758E">
      <w:pPr>
        <w:pStyle w:val="ConsPlusNormal"/>
        <w:jc w:val="right"/>
      </w:pPr>
      <w:r>
        <w:t xml:space="preserve">                                                                                                                             </w:t>
      </w:r>
      <w:r w:rsidR="00FB1672">
        <w:t>от</w:t>
      </w:r>
      <w:r>
        <w:t>_</w:t>
      </w:r>
      <w:r w:rsidR="009D758E">
        <w:t>12.10.</w:t>
      </w:r>
      <w:r w:rsidR="003766C1">
        <w:t xml:space="preserve"> 2023</w:t>
      </w:r>
      <w:r w:rsidR="00FB1672">
        <w:t xml:space="preserve"> г.</w:t>
      </w:r>
      <w:r w:rsidR="003766C1">
        <w:t>№</w:t>
      </w:r>
      <w:r>
        <w:t>_</w:t>
      </w:r>
      <w:r w:rsidR="009D758E">
        <w:t>582</w:t>
      </w:r>
    </w:p>
    <w:p w:rsidR="00FB1672" w:rsidRDefault="00FB1672" w:rsidP="00D70D2F">
      <w:pPr>
        <w:pStyle w:val="ConsPlusTitle"/>
        <w:jc w:val="center"/>
        <w:outlineLvl w:val="1"/>
      </w:pPr>
      <w:bookmarkStart w:id="0" w:name="P41"/>
      <w:bookmarkEnd w:id="0"/>
      <w:r>
        <w:t>ПАСПОРТ</w:t>
      </w:r>
    </w:p>
    <w:p w:rsidR="00FB1672" w:rsidRDefault="00B81AE5" w:rsidP="00D70D2F">
      <w:pPr>
        <w:pStyle w:val="ConsPlusTitle"/>
        <w:jc w:val="center"/>
      </w:pPr>
      <w:r>
        <w:t>муниципальной программы</w:t>
      </w:r>
      <w:r w:rsidR="00FB1672">
        <w:t xml:space="preserve"> "Совершенствование системы</w:t>
      </w:r>
    </w:p>
    <w:p w:rsidR="00FB1672" w:rsidRDefault="00FB1672" w:rsidP="00D70D2F">
      <w:pPr>
        <w:pStyle w:val="ConsPlusTitle"/>
        <w:jc w:val="center"/>
      </w:pPr>
      <w:r>
        <w:t xml:space="preserve">управления общественными </w:t>
      </w:r>
      <w:proofErr w:type="gramStart"/>
      <w:r>
        <w:t xml:space="preserve">финансами </w:t>
      </w:r>
      <w:r w:rsidR="00B81AE5">
        <w:t xml:space="preserve"> МР</w:t>
      </w:r>
      <w:proofErr w:type="gramEnd"/>
      <w:r w:rsidR="00B81AE5">
        <w:t xml:space="preserve"> «Мещовский район</w:t>
      </w:r>
      <w:r>
        <w:t>"</w:t>
      </w:r>
    </w:p>
    <w:p w:rsidR="00FB1672" w:rsidRDefault="00FB1672">
      <w:pPr>
        <w:pStyle w:val="ConsPlusNormal"/>
        <w:jc w:val="both"/>
      </w:pPr>
    </w:p>
    <w:tbl>
      <w:tblPr>
        <w:tblW w:w="1559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1639"/>
        <w:gridCol w:w="2551"/>
        <w:gridCol w:w="8568"/>
      </w:tblGrid>
      <w:tr w:rsidR="00FB1672" w:rsidTr="00082FED">
        <w:tc>
          <w:tcPr>
            <w:tcW w:w="2835" w:type="dxa"/>
          </w:tcPr>
          <w:p w:rsidR="00FB1672" w:rsidRDefault="00FB1672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12758" w:type="dxa"/>
            <w:gridSpan w:val="3"/>
          </w:tcPr>
          <w:p w:rsidR="00FB1672" w:rsidRDefault="00B81AE5" w:rsidP="00B81AE5">
            <w:pPr>
              <w:pStyle w:val="ConsPlusNormal"/>
            </w:pPr>
            <w:proofErr w:type="gramStart"/>
            <w:r>
              <w:t>Ф</w:t>
            </w:r>
            <w:r w:rsidR="00FB1672">
              <w:t>инансов</w:t>
            </w:r>
            <w:r>
              <w:t>ый  отдел</w:t>
            </w:r>
            <w:proofErr w:type="gramEnd"/>
            <w:r>
              <w:t xml:space="preserve"> администрации МР «Мещовский район»</w:t>
            </w:r>
          </w:p>
        </w:tc>
      </w:tr>
      <w:tr w:rsidR="00FB1672" w:rsidTr="00082FED">
        <w:tc>
          <w:tcPr>
            <w:tcW w:w="2835" w:type="dxa"/>
          </w:tcPr>
          <w:p w:rsidR="00FB1672" w:rsidRDefault="00FB1672">
            <w:pPr>
              <w:pStyle w:val="ConsPlusNormal"/>
            </w:pPr>
            <w:r>
              <w:t>Цель муниципальной программы</w:t>
            </w:r>
          </w:p>
        </w:tc>
        <w:tc>
          <w:tcPr>
            <w:tcW w:w="12758" w:type="dxa"/>
            <w:gridSpan w:val="3"/>
          </w:tcPr>
          <w:p w:rsidR="00FB1672" w:rsidRDefault="00FB1672">
            <w:pPr>
              <w:pStyle w:val="ConsPlusNormal"/>
            </w:pPr>
            <w:r>
              <w:t>Повышение качества управления муниципальными финансами</w:t>
            </w:r>
          </w:p>
        </w:tc>
      </w:tr>
      <w:tr w:rsidR="00FB1672" w:rsidTr="00082FED">
        <w:tc>
          <w:tcPr>
            <w:tcW w:w="2835" w:type="dxa"/>
          </w:tcPr>
          <w:p w:rsidR="00FB1672" w:rsidRDefault="00FB1672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12758" w:type="dxa"/>
            <w:gridSpan w:val="3"/>
          </w:tcPr>
          <w:p w:rsidR="00FB1672" w:rsidRDefault="00FB1672">
            <w:pPr>
              <w:pStyle w:val="ConsPlusNormal"/>
            </w:pPr>
            <w:r>
              <w:t xml:space="preserve">- </w:t>
            </w:r>
            <w:r w:rsidR="00BC0AF7">
              <w:t>п</w:t>
            </w:r>
            <w:r>
              <w:t>овышение эффективности бюджетных расходов и совершенствование системы управления бюджетным процессом;</w:t>
            </w:r>
          </w:p>
          <w:p w:rsidR="00FB1672" w:rsidRDefault="00FB1672">
            <w:pPr>
              <w:pStyle w:val="ConsPlusNormal"/>
            </w:pPr>
            <w:r>
              <w:t xml:space="preserve">- повышение эффективности </w:t>
            </w:r>
            <w:proofErr w:type="gramStart"/>
            <w:r>
              <w:t>управления</w:t>
            </w:r>
            <w:r w:rsidR="008F76EE">
              <w:t xml:space="preserve"> </w:t>
            </w:r>
            <w:r>
              <w:t xml:space="preserve"> муниципальным</w:t>
            </w:r>
            <w:proofErr w:type="gramEnd"/>
            <w:r>
              <w:t xml:space="preserve"> долгом;</w:t>
            </w:r>
          </w:p>
          <w:p w:rsidR="00FB1672" w:rsidRDefault="00FB1672">
            <w:pPr>
              <w:pStyle w:val="ConsPlusNormal"/>
            </w:pPr>
            <w:r>
              <w:t xml:space="preserve">- развитие доходного </w:t>
            </w:r>
            <w:proofErr w:type="gramStart"/>
            <w:r>
              <w:t>потенциала  района</w:t>
            </w:r>
            <w:proofErr w:type="gramEnd"/>
            <w:r>
              <w:t>;</w:t>
            </w:r>
          </w:p>
          <w:p w:rsidR="00FB1672" w:rsidRDefault="00FB1672">
            <w:pPr>
              <w:pStyle w:val="ConsPlusNormal"/>
            </w:pPr>
            <w:r>
              <w:t>- совершенствование финансового контроля и снижение просроченной кредиторской задолженности;</w:t>
            </w:r>
          </w:p>
          <w:p w:rsidR="00FB1672" w:rsidRDefault="00FB1672" w:rsidP="00BD303D">
            <w:pPr>
              <w:pStyle w:val="ConsPlusNormal"/>
            </w:pPr>
            <w:r>
              <w:t xml:space="preserve">- повышение квалификации </w:t>
            </w:r>
            <w:proofErr w:type="gramStart"/>
            <w:r>
              <w:t>работников</w:t>
            </w:r>
            <w:r w:rsidR="00BD303D">
              <w:t xml:space="preserve"> </w:t>
            </w:r>
            <w:r>
              <w:t xml:space="preserve"> финансов</w:t>
            </w:r>
            <w:r w:rsidR="00BD303D">
              <w:t>ого</w:t>
            </w:r>
            <w:proofErr w:type="gramEnd"/>
            <w:r w:rsidR="00BD303D">
              <w:t xml:space="preserve"> отдела администрации МР «Мещовский район»</w:t>
            </w:r>
          </w:p>
        </w:tc>
      </w:tr>
      <w:tr w:rsidR="00FB1672" w:rsidTr="00082FED">
        <w:tc>
          <w:tcPr>
            <w:tcW w:w="2835" w:type="dxa"/>
            <w:vMerge w:val="restart"/>
          </w:tcPr>
          <w:p w:rsidR="00FB1672" w:rsidRDefault="00FB1672">
            <w:pPr>
              <w:pStyle w:val="ConsPlusNormal"/>
            </w:pPr>
            <w:r>
              <w:t>Индикаторы муниципальной программы</w:t>
            </w:r>
          </w:p>
        </w:tc>
        <w:tc>
          <w:tcPr>
            <w:tcW w:w="12758" w:type="dxa"/>
            <w:gridSpan w:val="3"/>
          </w:tcPr>
          <w:p w:rsidR="00FB1672" w:rsidRDefault="00FB1672" w:rsidP="00A279CB">
            <w:pPr>
              <w:pStyle w:val="ConsPlusNormal"/>
            </w:pPr>
            <w:r>
              <w:t>1.</w:t>
            </w:r>
            <w:r w:rsidR="00A279CB">
              <w:t xml:space="preserve">Повышение качества </w:t>
            </w:r>
            <w:proofErr w:type="gramStart"/>
            <w:r w:rsidR="00A279CB">
              <w:t>организации  и</w:t>
            </w:r>
            <w:proofErr w:type="gramEnd"/>
            <w:r w:rsidR="00A279CB">
              <w:t xml:space="preserve"> осуществления  бюджетного процесса  в МР «Мещовский район» в рейтинге  качества организации  и осуществления   бюджетного процесса, проводимого  Министерством  финансов Калужской области </w:t>
            </w: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2758" w:type="dxa"/>
            <w:gridSpan w:val="3"/>
          </w:tcPr>
          <w:p w:rsidR="00FB1672" w:rsidRDefault="00FB1672" w:rsidP="00A279CB">
            <w:pPr>
              <w:pStyle w:val="ConsPlusNormal"/>
            </w:pPr>
            <w:r>
              <w:t xml:space="preserve">2. </w:t>
            </w:r>
            <w:r w:rsidR="00A279CB">
              <w:t xml:space="preserve">Отношение объема муниципального долга </w:t>
            </w:r>
            <w:proofErr w:type="gramStart"/>
            <w:r w:rsidR="00A279CB">
              <w:t xml:space="preserve">района </w:t>
            </w:r>
            <w:r w:rsidR="0056352A">
              <w:t xml:space="preserve"> к</w:t>
            </w:r>
            <w:proofErr w:type="gramEnd"/>
            <w:r w:rsidR="0056352A">
              <w:t xml:space="preserve"> годовому объёму  налоговых и неналоговых доходов районного бюджета</w:t>
            </w: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2758" w:type="dxa"/>
            <w:gridSpan w:val="3"/>
          </w:tcPr>
          <w:p w:rsidR="00FB1672" w:rsidRDefault="00FB1672" w:rsidP="0056352A">
            <w:pPr>
              <w:pStyle w:val="ConsPlusNormal"/>
            </w:pPr>
            <w:r>
              <w:t xml:space="preserve">3. </w:t>
            </w:r>
            <w:r w:rsidR="0056352A">
              <w:t xml:space="preserve">Отношение дефицита бюджета муниципального района к годовому объёму доходов </w:t>
            </w:r>
            <w:proofErr w:type="gramStart"/>
            <w:r w:rsidR="0056352A">
              <w:t>бюджета  без</w:t>
            </w:r>
            <w:proofErr w:type="gramEnd"/>
            <w:r w:rsidR="0056352A">
              <w:t xml:space="preserve"> учёта  безвозмездных  поступлений при утверждении районного  бюджета</w:t>
            </w: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2758" w:type="dxa"/>
            <w:gridSpan w:val="3"/>
          </w:tcPr>
          <w:p w:rsidR="00FB1672" w:rsidRDefault="00FB1672" w:rsidP="0056352A">
            <w:pPr>
              <w:pStyle w:val="ConsPlusNormal"/>
            </w:pPr>
            <w:r>
              <w:t>4.</w:t>
            </w:r>
            <w:r w:rsidR="0056352A">
              <w:t xml:space="preserve">Доля налоговых доходов консолидированного бюджета района в объёме </w:t>
            </w:r>
            <w:proofErr w:type="gramStart"/>
            <w:r w:rsidR="0056352A">
              <w:t>налоговых  и</w:t>
            </w:r>
            <w:proofErr w:type="gramEnd"/>
            <w:r w:rsidR="0056352A">
              <w:t xml:space="preserve"> неналоговых доходов консолидированного  бюджета Мещовского района</w:t>
            </w: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2758" w:type="dxa"/>
            <w:gridSpan w:val="3"/>
          </w:tcPr>
          <w:p w:rsidR="00FB1672" w:rsidRDefault="00FB1672" w:rsidP="0056352A">
            <w:pPr>
              <w:pStyle w:val="ConsPlusNormal"/>
            </w:pPr>
            <w:r>
              <w:t>5.</w:t>
            </w:r>
            <w:r w:rsidR="0056352A">
              <w:t xml:space="preserve">Доля расходов, осуществляемых в рамках программно-целевого метода, в общем объёме расходов бюджета района </w:t>
            </w: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2758" w:type="dxa"/>
            <w:gridSpan w:val="3"/>
          </w:tcPr>
          <w:p w:rsidR="00FB1672" w:rsidRDefault="00FB1672" w:rsidP="0056352A">
            <w:pPr>
              <w:pStyle w:val="ConsPlusNormal"/>
            </w:pPr>
            <w:r>
              <w:t xml:space="preserve">6. </w:t>
            </w:r>
            <w:r w:rsidR="0056352A">
              <w:t>Снижение кредиторской задолженности по бюджету муниципального района</w:t>
            </w: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2758" w:type="dxa"/>
            <w:gridSpan w:val="3"/>
          </w:tcPr>
          <w:p w:rsidR="00FB1672" w:rsidRDefault="00FB1672" w:rsidP="00DA6051">
            <w:pPr>
              <w:pStyle w:val="ConsPlusNormal"/>
            </w:pPr>
            <w:r>
              <w:t xml:space="preserve">7. </w:t>
            </w:r>
            <w:r w:rsidR="00DA6051">
              <w:t>Количество муниципальных служащих финансового отдела, повысивших квалификацию</w:t>
            </w:r>
          </w:p>
        </w:tc>
      </w:tr>
      <w:tr w:rsidR="00DA6051" w:rsidTr="00FB32F2">
        <w:trPr>
          <w:gridAfter w:val="3"/>
          <w:wAfter w:w="12758" w:type="dxa"/>
          <w:trHeight w:val="292"/>
        </w:trPr>
        <w:tc>
          <w:tcPr>
            <w:tcW w:w="2835" w:type="dxa"/>
            <w:vMerge/>
          </w:tcPr>
          <w:p w:rsidR="00DA6051" w:rsidRDefault="00DA6051">
            <w:pPr>
              <w:pStyle w:val="ConsPlusNormal"/>
            </w:pPr>
          </w:p>
        </w:tc>
      </w:tr>
      <w:tr w:rsidR="00FB1672" w:rsidTr="00082FED">
        <w:tc>
          <w:tcPr>
            <w:tcW w:w="2835" w:type="dxa"/>
          </w:tcPr>
          <w:p w:rsidR="00FB1672" w:rsidRDefault="00FB1672">
            <w:pPr>
              <w:pStyle w:val="ConsPlusNormal"/>
            </w:pPr>
            <w:r>
              <w:t>Сроки реализации муниципальной программы</w:t>
            </w:r>
          </w:p>
        </w:tc>
        <w:tc>
          <w:tcPr>
            <w:tcW w:w="12758" w:type="dxa"/>
            <w:gridSpan w:val="3"/>
          </w:tcPr>
          <w:p w:rsidR="00FB1672" w:rsidRDefault="00FB1672" w:rsidP="00B81AE5">
            <w:pPr>
              <w:pStyle w:val="ConsPlusNormal"/>
            </w:pPr>
            <w:r>
              <w:t>20</w:t>
            </w:r>
            <w:r w:rsidR="00B81AE5">
              <w:t>24</w:t>
            </w:r>
            <w:r>
              <w:t xml:space="preserve"> - 202</w:t>
            </w:r>
            <w:r w:rsidR="00B81AE5">
              <w:t>9</w:t>
            </w:r>
            <w:r>
              <w:t xml:space="preserve"> годы</w:t>
            </w:r>
          </w:p>
        </w:tc>
      </w:tr>
      <w:tr w:rsidR="00FB1672" w:rsidTr="00082FED">
        <w:tc>
          <w:tcPr>
            <w:tcW w:w="2835" w:type="dxa"/>
            <w:vMerge w:val="restart"/>
          </w:tcPr>
          <w:p w:rsidR="00FB1672" w:rsidRDefault="00FB1672">
            <w:pPr>
              <w:pStyle w:val="ConsPlusNormal"/>
            </w:pPr>
            <w:r>
              <w:lastRenderedPageBreak/>
              <w:t>Объемы финансирования муниципальной программы</w:t>
            </w:r>
          </w:p>
        </w:tc>
        <w:tc>
          <w:tcPr>
            <w:tcW w:w="1639" w:type="dxa"/>
            <w:vMerge w:val="restart"/>
          </w:tcPr>
          <w:p w:rsidR="00FB1672" w:rsidRDefault="00FB1672">
            <w:pPr>
              <w:pStyle w:val="ConsPlusNormal"/>
              <w:jc w:val="center"/>
            </w:pPr>
            <w:r>
              <w:t>Период</w:t>
            </w:r>
          </w:p>
        </w:tc>
        <w:tc>
          <w:tcPr>
            <w:tcW w:w="11119" w:type="dxa"/>
            <w:gridSpan w:val="2"/>
          </w:tcPr>
          <w:p w:rsidR="00FB1672" w:rsidRDefault="00FB1672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639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2551" w:type="dxa"/>
          </w:tcPr>
          <w:p w:rsidR="00FB1672" w:rsidRDefault="00FB1672" w:rsidP="00BD303D">
            <w:pPr>
              <w:pStyle w:val="ConsPlusNormal"/>
              <w:jc w:val="center"/>
            </w:pPr>
            <w:r>
              <w:t>Бюджет муниципального района</w:t>
            </w:r>
            <w:r w:rsidR="00D95FC1">
              <w:t xml:space="preserve"> (</w:t>
            </w:r>
            <w:r w:rsidR="000C173B">
              <w:t>тыс.</w:t>
            </w:r>
            <w:r w:rsidR="00A52F49">
              <w:t xml:space="preserve"> </w:t>
            </w:r>
            <w:r w:rsidR="00D95FC1">
              <w:t>рублей)</w:t>
            </w:r>
          </w:p>
        </w:tc>
        <w:tc>
          <w:tcPr>
            <w:tcW w:w="8568" w:type="dxa"/>
          </w:tcPr>
          <w:p w:rsidR="00FB1672" w:rsidRDefault="00FB1672">
            <w:pPr>
              <w:pStyle w:val="ConsPlusNormal"/>
              <w:jc w:val="center"/>
            </w:pP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639" w:type="dxa"/>
          </w:tcPr>
          <w:p w:rsidR="00FB1672" w:rsidRDefault="00B81AE5">
            <w:pPr>
              <w:pStyle w:val="ConsPlusNormal"/>
            </w:pPr>
            <w:r>
              <w:t>2024 год</w:t>
            </w:r>
          </w:p>
        </w:tc>
        <w:tc>
          <w:tcPr>
            <w:tcW w:w="2551" w:type="dxa"/>
          </w:tcPr>
          <w:p w:rsidR="00FB1672" w:rsidRDefault="00B010C6">
            <w:pPr>
              <w:pStyle w:val="ConsPlusNormal"/>
              <w:jc w:val="right"/>
            </w:pPr>
            <w:r>
              <w:t>8 007,902</w:t>
            </w:r>
          </w:p>
        </w:tc>
        <w:tc>
          <w:tcPr>
            <w:tcW w:w="8568" w:type="dxa"/>
          </w:tcPr>
          <w:p w:rsidR="00FB1672" w:rsidRDefault="00FB1672">
            <w:pPr>
              <w:pStyle w:val="ConsPlusNormal"/>
              <w:jc w:val="right"/>
            </w:pP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639" w:type="dxa"/>
          </w:tcPr>
          <w:p w:rsidR="00FB1672" w:rsidRDefault="00B81AE5" w:rsidP="00B81AE5">
            <w:pPr>
              <w:pStyle w:val="ConsPlusNormal"/>
            </w:pPr>
            <w:r>
              <w:t>2025</w:t>
            </w:r>
            <w:r w:rsidR="00FB1672">
              <w:t xml:space="preserve"> год</w:t>
            </w:r>
          </w:p>
        </w:tc>
        <w:tc>
          <w:tcPr>
            <w:tcW w:w="2551" w:type="dxa"/>
          </w:tcPr>
          <w:p w:rsidR="00FB1672" w:rsidRDefault="00D95FC1" w:rsidP="00D95FC1">
            <w:pPr>
              <w:pStyle w:val="ConsPlusNormal"/>
              <w:jc w:val="right"/>
            </w:pPr>
            <w:r>
              <w:t>8</w:t>
            </w:r>
            <w:r w:rsidR="00B010C6">
              <w:t> 079,863</w:t>
            </w:r>
          </w:p>
        </w:tc>
        <w:tc>
          <w:tcPr>
            <w:tcW w:w="8568" w:type="dxa"/>
          </w:tcPr>
          <w:p w:rsidR="00FB1672" w:rsidRDefault="00FB1672">
            <w:pPr>
              <w:pStyle w:val="ConsPlusNormal"/>
              <w:jc w:val="right"/>
            </w:pP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639" w:type="dxa"/>
          </w:tcPr>
          <w:p w:rsidR="00FB1672" w:rsidRDefault="00FB1672" w:rsidP="00BD303D">
            <w:pPr>
              <w:pStyle w:val="ConsPlusNormal"/>
            </w:pPr>
            <w:r>
              <w:t>202</w:t>
            </w:r>
            <w:r w:rsidR="00BD303D">
              <w:t>6</w:t>
            </w:r>
            <w:r>
              <w:t xml:space="preserve"> год</w:t>
            </w:r>
          </w:p>
        </w:tc>
        <w:tc>
          <w:tcPr>
            <w:tcW w:w="2551" w:type="dxa"/>
          </w:tcPr>
          <w:p w:rsidR="00FB1672" w:rsidRDefault="00FD0AA2" w:rsidP="00FD0AA2">
            <w:pPr>
              <w:pStyle w:val="ConsPlusNormal"/>
              <w:jc w:val="right"/>
            </w:pPr>
            <w:r>
              <w:t>8</w:t>
            </w:r>
            <w:r w:rsidR="00B010C6">
              <w:t> 154,697</w:t>
            </w:r>
          </w:p>
        </w:tc>
        <w:tc>
          <w:tcPr>
            <w:tcW w:w="8568" w:type="dxa"/>
          </w:tcPr>
          <w:p w:rsidR="00FB1672" w:rsidRDefault="00FB1672">
            <w:pPr>
              <w:pStyle w:val="ConsPlusNormal"/>
              <w:jc w:val="right"/>
            </w:pP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639" w:type="dxa"/>
          </w:tcPr>
          <w:p w:rsidR="00FB1672" w:rsidRDefault="00FB1672" w:rsidP="00BD303D">
            <w:pPr>
              <w:pStyle w:val="ConsPlusNormal"/>
            </w:pPr>
            <w:r>
              <w:t>202</w:t>
            </w:r>
            <w:r w:rsidR="00BD303D">
              <w:t>7</w:t>
            </w:r>
            <w:r>
              <w:t xml:space="preserve"> год</w:t>
            </w:r>
          </w:p>
        </w:tc>
        <w:tc>
          <w:tcPr>
            <w:tcW w:w="2551" w:type="dxa"/>
          </w:tcPr>
          <w:p w:rsidR="00FB1672" w:rsidRDefault="00FD0AA2">
            <w:pPr>
              <w:pStyle w:val="ConsPlusNormal"/>
              <w:jc w:val="right"/>
            </w:pPr>
            <w:r w:rsidRPr="00FD0AA2">
              <w:t>8 389,740</w:t>
            </w:r>
          </w:p>
        </w:tc>
        <w:tc>
          <w:tcPr>
            <w:tcW w:w="8568" w:type="dxa"/>
          </w:tcPr>
          <w:p w:rsidR="00FB1672" w:rsidRDefault="00FB1672">
            <w:pPr>
              <w:pStyle w:val="ConsPlusNormal"/>
              <w:jc w:val="right"/>
            </w:pP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639" w:type="dxa"/>
          </w:tcPr>
          <w:p w:rsidR="00FB1672" w:rsidRDefault="00FB1672" w:rsidP="00BD303D">
            <w:pPr>
              <w:pStyle w:val="ConsPlusNormal"/>
            </w:pPr>
            <w:r>
              <w:t>202</w:t>
            </w:r>
            <w:r w:rsidR="00BD303D">
              <w:t>8</w:t>
            </w:r>
            <w:r>
              <w:t xml:space="preserve"> год</w:t>
            </w:r>
          </w:p>
        </w:tc>
        <w:tc>
          <w:tcPr>
            <w:tcW w:w="2551" w:type="dxa"/>
          </w:tcPr>
          <w:p w:rsidR="00FB1672" w:rsidRDefault="00FD0AA2">
            <w:pPr>
              <w:pStyle w:val="ConsPlusNormal"/>
              <w:jc w:val="right"/>
            </w:pPr>
            <w:r w:rsidRPr="00FD0AA2">
              <w:t>8 389,740</w:t>
            </w:r>
          </w:p>
        </w:tc>
        <w:tc>
          <w:tcPr>
            <w:tcW w:w="8568" w:type="dxa"/>
          </w:tcPr>
          <w:p w:rsidR="00FB1672" w:rsidRDefault="00FB1672">
            <w:pPr>
              <w:pStyle w:val="ConsPlusNormal"/>
              <w:jc w:val="right"/>
            </w:pP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639" w:type="dxa"/>
          </w:tcPr>
          <w:p w:rsidR="00FB1672" w:rsidRDefault="00FB1672" w:rsidP="00BD303D">
            <w:pPr>
              <w:pStyle w:val="ConsPlusNormal"/>
            </w:pPr>
            <w:r>
              <w:t>202</w:t>
            </w:r>
            <w:r w:rsidR="00BD303D">
              <w:t>9</w:t>
            </w:r>
            <w:r>
              <w:t xml:space="preserve"> год</w:t>
            </w:r>
          </w:p>
        </w:tc>
        <w:tc>
          <w:tcPr>
            <w:tcW w:w="2551" w:type="dxa"/>
          </w:tcPr>
          <w:p w:rsidR="00FB1672" w:rsidRDefault="00FD0AA2">
            <w:pPr>
              <w:pStyle w:val="ConsPlusNormal"/>
              <w:jc w:val="right"/>
            </w:pPr>
            <w:r w:rsidRPr="00FD0AA2">
              <w:t>8 389,740</w:t>
            </w:r>
          </w:p>
        </w:tc>
        <w:tc>
          <w:tcPr>
            <w:tcW w:w="8568" w:type="dxa"/>
          </w:tcPr>
          <w:p w:rsidR="00FB1672" w:rsidRDefault="00FB1672">
            <w:pPr>
              <w:pStyle w:val="ConsPlusNormal"/>
              <w:jc w:val="right"/>
            </w:pP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639" w:type="dxa"/>
          </w:tcPr>
          <w:p w:rsidR="00FB1672" w:rsidRPr="00FF6852" w:rsidRDefault="00BD303D">
            <w:pPr>
              <w:pStyle w:val="ConsPlusNormal"/>
              <w:rPr>
                <w:b/>
                <w:bCs/>
              </w:rPr>
            </w:pPr>
            <w:r w:rsidRPr="00FF6852">
              <w:rPr>
                <w:b/>
                <w:bCs/>
              </w:rPr>
              <w:t>Всего</w:t>
            </w:r>
          </w:p>
        </w:tc>
        <w:tc>
          <w:tcPr>
            <w:tcW w:w="2551" w:type="dxa"/>
          </w:tcPr>
          <w:p w:rsidR="00FB1672" w:rsidRPr="00FF6852" w:rsidRDefault="00FD0AA2">
            <w:pPr>
              <w:pStyle w:val="ConsPlusNormal"/>
              <w:jc w:val="right"/>
              <w:rPr>
                <w:b/>
                <w:bCs/>
              </w:rPr>
            </w:pPr>
            <w:r w:rsidRPr="00FF6852">
              <w:rPr>
                <w:b/>
                <w:bCs/>
              </w:rPr>
              <w:t>49</w:t>
            </w:r>
            <w:r w:rsidR="00B010C6">
              <w:rPr>
                <w:b/>
                <w:bCs/>
              </w:rPr>
              <w:t> 411,682</w:t>
            </w:r>
          </w:p>
        </w:tc>
        <w:tc>
          <w:tcPr>
            <w:tcW w:w="8568" w:type="dxa"/>
          </w:tcPr>
          <w:p w:rsidR="00FB1672" w:rsidRDefault="00FB1672">
            <w:pPr>
              <w:pStyle w:val="ConsPlusNormal"/>
              <w:jc w:val="right"/>
            </w:pPr>
          </w:p>
        </w:tc>
      </w:tr>
      <w:tr w:rsidR="00FB1672" w:rsidTr="00082FED">
        <w:tc>
          <w:tcPr>
            <w:tcW w:w="2835" w:type="dxa"/>
            <w:vMerge/>
          </w:tcPr>
          <w:p w:rsidR="00FB1672" w:rsidRDefault="00FB1672">
            <w:pPr>
              <w:pStyle w:val="ConsPlusNormal"/>
            </w:pPr>
          </w:p>
        </w:tc>
        <w:tc>
          <w:tcPr>
            <w:tcW w:w="12758" w:type="dxa"/>
            <w:gridSpan w:val="3"/>
          </w:tcPr>
          <w:p w:rsidR="00FB1672" w:rsidRDefault="00FB1672" w:rsidP="00BD303D">
            <w:pPr>
              <w:pStyle w:val="ConsPlusNormal"/>
            </w:pPr>
            <w:r>
              <w:t>Финансирование мероприятий настоящей Программы</w:t>
            </w:r>
            <w:r w:rsidR="00BD303D">
              <w:t xml:space="preserve"> за счёт средств бюджета </w:t>
            </w:r>
            <w:proofErr w:type="gramStart"/>
            <w:r w:rsidR="00BD303D">
              <w:t xml:space="preserve">района </w:t>
            </w:r>
            <w:r>
              <w:t xml:space="preserve"> уточняется</w:t>
            </w:r>
            <w:proofErr w:type="gramEnd"/>
            <w:r w:rsidR="00BD303D">
              <w:t xml:space="preserve"> Р</w:t>
            </w:r>
            <w:r>
              <w:t xml:space="preserve">ешением Районной </w:t>
            </w:r>
            <w:r w:rsidR="00BD303D">
              <w:t>Собрания  муниципального района «Мещовский район о</w:t>
            </w:r>
            <w:r>
              <w:t xml:space="preserve"> бюджете на очередной финансовый год и плановый период</w:t>
            </w:r>
          </w:p>
        </w:tc>
      </w:tr>
      <w:tr w:rsidR="00FB1672" w:rsidTr="00082FED">
        <w:tc>
          <w:tcPr>
            <w:tcW w:w="2835" w:type="dxa"/>
          </w:tcPr>
          <w:p w:rsidR="00FB1672" w:rsidRDefault="00FB1672">
            <w:pPr>
              <w:pStyle w:val="ConsPlusNormal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12758" w:type="dxa"/>
            <w:gridSpan w:val="3"/>
          </w:tcPr>
          <w:p w:rsidR="00FB1672" w:rsidRDefault="00FB1672">
            <w:pPr>
              <w:pStyle w:val="ConsPlusNormal"/>
            </w:pPr>
            <w:r>
              <w:t xml:space="preserve">- повышение качества организации бюджетного </w:t>
            </w:r>
            <w:proofErr w:type="gramStart"/>
            <w:r>
              <w:t xml:space="preserve">процесса </w:t>
            </w:r>
            <w:r w:rsidR="00BD303D">
              <w:t xml:space="preserve"> муниципального</w:t>
            </w:r>
            <w:proofErr w:type="gramEnd"/>
            <w:r>
              <w:t xml:space="preserve"> района на всех стадиях, обеспечение прозрачности и доступности для населения района информации по вопросам формирования и исполнения районного бюджета;</w:t>
            </w:r>
          </w:p>
          <w:p w:rsidR="00FB1672" w:rsidRDefault="00FB1672">
            <w:pPr>
              <w:pStyle w:val="ConsPlusNormal"/>
            </w:pPr>
            <w:r>
              <w:t>- обеспечение долгосрочной сбалансированности и устойчивости бюджетной системы</w:t>
            </w:r>
            <w:r w:rsidR="00BD303D">
              <w:t xml:space="preserve"> р</w:t>
            </w:r>
            <w:r>
              <w:t>айона;</w:t>
            </w:r>
          </w:p>
          <w:p w:rsidR="00FB1672" w:rsidRDefault="00FB1672">
            <w:pPr>
              <w:pStyle w:val="ConsPlusNormal"/>
            </w:pPr>
            <w:r>
              <w:t>- повышение эффективности управления муниципальным долгом, поддержание объема муниципального долга в пределах ограничений, установленных действующим законодательством;</w:t>
            </w:r>
          </w:p>
          <w:p w:rsidR="00FB1672" w:rsidRDefault="00FB1672" w:rsidP="00BD303D">
            <w:pPr>
              <w:pStyle w:val="ConsPlusNormal"/>
            </w:pPr>
            <w:r>
              <w:t xml:space="preserve">- повышение профессионализма муниципальных </w:t>
            </w:r>
            <w:proofErr w:type="gramStart"/>
            <w:r>
              <w:t xml:space="preserve">служащих </w:t>
            </w:r>
            <w:r w:rsidR="00BD303D">
              <w:t xml:space="preserve"> финансового</w:t>
            </w:r>
            <w:proofErr w:type="gramEnd"/>
            <w:r w:rsidR="00BD303D">
              <w:t xml:space="preserve"> </w:t>
            </w:r>
            <w:r>
              <w:t xml:space="preserve">отдела </w:t>
            </w:r>
          </w:p>
        </w:tc>
      </w:tr>
    </w:tbl>
    <w:p w:rsidR="00FB1672" w:rsidRDefault="00FB1672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E22A7C" w:rsidRDefault="00E22A7C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1"/>
      </w:pPr>
      <w:r>
        <w:lastRenderedPageBreak/>
        <w:t>Раздел I. ОБЩАЯ ХАРАКТЕРИСТИКА СФЕРЫ РЕАЛИЗАЦИИ</w:t>
      </w:r>
    </w:p>
    <w:p w:rsidR="00FB1672" w:rsidRDefault="00FB1672">
      <w:pPr>
        <w:pStyle w:val="ConsPlusTitle"/>
        <w:jc w:val="center"/>
      </w:pPr>
      <w:r>
        <w:t>МУНИЦИПАЛЬНОЙ 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 xml:space="preserve">В последние годы </w:t>
      </w:r>
      <w:proofErr w:type="gramStart"/>
      <w:r>
        <w:t>в  районе</w:t>
      </w:r>
      <w:proofErr w:type="gramEnd"/>
      <w:r>
        <w:t xml:space="preserve"> осуществлен целый ряд мероприятий, направленных на реформирование системы управления общественными финансами района, повышение эффективности бюджетных расходов, мобилизацию источников доходов и оптимизацию бюджетных обязательств.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Наиболее важными из них являются: внедрение автоматизированной системы управления бюджетным процессом, перевод значительной части расходов бюджета на программно-целевой метод планирования и исполнения, совершенствование межбюджетных отношений.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Формирование и исполнение бюджета муниципального района "</w:t>
      </w:r>
      <w:r w:rsidR="00D95FC1">
        <w:t xml:space="preserve">Мещовский  </w:t>
      </w:r>
      <w:r>
        <w:t xml:space="preserve"> район" (далее - районный бюджет) осуществляются на основе муниципальных </w:t>
      </w:r>
      <w:proofErr w:type="gramStart"/>
      <w:r>
        <w:t>программ  района</w:t>
      </w:r>
      <w:proofErr w:type="gramEnd"/>
      <w:r>
        <w:t>, которые являются инструментом повышения эффективности бюджетных расходов. Формирование бюджета на основе муниципальных программ позволило создать основу для обеспечения эффективного использования средств районного бюджета, проведения оценки результативности и эффективности бюджетных ассигнований.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Сформирована и реализуется концепция межбюджетных отношений, позволяющая обеспечить выравнивание финансовых возможностей муниципальн</w:t>
      </w:r>
      <w:r w:rsidR="00776E54">
        <w:t>ого</w:t>
      </w:r>
      <w:r>
        <w:t xml:space="preserve"> образовани</w:t>
      </w:r>
      <w:r w:rsidR="00776E54">
        <w:t>я</w:t>
      </w:r>
      <w:r>
        <w:t xml:space="preserve"> района.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Проводится работа по повышению заинтересованности и вовлечению граждан в бюджетный процесс.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Для обеспечения открытости и прозрачности бюджетов и бюджетного процесса в информационно-телекоммуникационной сети Интернет на официальном сайте муниципального района "</w:t>
      </w:r>
      <w:r w:rsidR="006066A6">
        <w:t>Мещовский район</w:t>
      </w:r>
      <w:r>
        <w:t>" размещается информация о проектах решений (решениях) о бюджете муниципального района, отчеты об исполнении бюджета муниципального района и другие бюджетные данные.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Реализация указанных мероприятий позволила повысить качество управления общественными финансами, систематизировать и оптимизировать многие процессы, повысить прозрачность финансовой системы, сделать ее более понятной и доступной не только для непосредственных участников бюджетного процесса, но и для жителей района.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2"/>
      </w:pPr>
      <w:r>
        <w:t>Основные проблемы в сфере реализации муниципальной 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>Тем не менее не все поставленные задачи были реализованы в том объеме, в котором планировалось. Как следствие, в сфере управления общественными финансами сохраняется ряд системных недостатков и нерешенных проблем, а именно: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1. Не в полной мере отработаны механизмы повышения эффективности бюджетных расходов, контроля и оценки эффективности производимых расходов.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2. Недостаточно полно реализованы возможности повышения качества управления муниципальными финансами, совершенствования процедур бюджетного процесса, проведения эффективной долговой политики.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3. В недостаточной степени используется административный ресурс, мотивирующие и стимулирующие механизмы для обеспечения полного использования доходного потенциала района.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4. Финансовая грамотность населения находится на низком уровне, сохраняется потребность в дополнительном обучении и повышении квалификации работников общественных финансов.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2"/>
      </w:pPr>
      <w:r>
        <w:t>Прогноз развития сферы реализации муниципальной 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>Качество управления общественными финансами можно оценить с точки зрения его влияния на темпы продвижения к достижению поставленных целей.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В связи с этим необходимость достижения долгосрочных целей социально-экономического </w:t>
      </w:r>
      <w:proofErr w:type="gramStart"/>
      <w:r>
        <w:t>развития  района</w:t>
      </w:r>
      <w:proofErr w:type="gramEnd"/>
      <w:r>
        <w:t>, повышение требований к эффективности деятельности органов местного самоуправления ставят новые задачи и в области управления общественными финансами.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Комплексный подход к выполнению задач в рамках муниципальной программы позволит обеспечить эффективное решение актуальных вопросов развития бюджетной системы Кировского района.</w:t>
      </w:r>
    </w:p>
    <w:p w:rsidR="00FB1672" w:rsidRDefault="00FB1672">
      <w:pPr>
        <w:pStyle w:val="ConsPlusNormal"/>
        <w:jc w:val="both"/>
      </w:pPr>
    </w:p>
    <w:p w:rsidR="00FB32F2" w:rsidRDefault="00FB32F2">
      <w:pPr>
        <w:pStyle w:val="ConsPlusNormal"/>
        <w:jc w:val="both"/>
      </w:pPr>
    </w:p>
    <w:p w:rsidR="00E77524" w:rsidRDefault="00E77524">
      <w:pPr>
        <w:pStyle w:val="ConsPlusTitle"/>
        <w:jc w:val="center"/>
        <w:outlineLvl w:val="2"/>
      </w:pPr>
    </w:p>
    <w:p w:rsidR="00FB1672" w:rsidRDefault="00FB1672">
      <w:pPr>
        <w:pStyle w:val="ConsPlusTitle"/>
        <w:jc w:val="center"/>
        <w:outlineLvl w:val="2"/>
      </w:pPr>
      <w:r>
        <w:t>1.1. Вопросы, связанные с повышением эффективности бюджетных</w:t>
      </w:r>
    </w:p>
    <w:p w:rsidR="00FB1672" w:rsidRDefault="00FB1672">
      <w:pPr>
        <w:pStyle w:val="ConsPlusTitle"/>
        <w:jc w:val="center"/>
      </w:pPr>
      <w:r>
        <w:t>расходов и оценки их эффективности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>Вопросы, связанные с повышением эффективности бюджетных расходов и оценкой их эффективности, остаются наиболее актуальными.</w:t>
      </w:r>
      <w:r w:rsidR="00A52F49">
        <w:t xml:space="preserve"> </w:t>
      </w:r>
      <w:r w:rsidR="00C2280D">
        <w:t xml:space="preserve">Бюджет района, </w:t>
      </w:r>
      <w:proofErr w:type="gramStart"/>
      <w:r w:rsidR="00C2280D">
        <w:t>как  и</w:t>
      </w:r>
      <w:proofErr w:type="gramEnd"/>
      <w:r w:rsidR="00C2280D">
        <w:t xml:space="preserve"> в предыдущие годы, сформирован в программном формате,</w:t>
      </w:r>
      <w:r>
        <w:t xml:space="preserve"> что должно повысить ответственность всех участников бюджетного процесса за реализацию поставленных задач и достижение конечных результатов.</w:t>
      </w:r>
    </w:p>
    <w:p w:rsidR="00FB1672" w:rsidRDefault="00C2280D">
      <w:pPr>
        <w:pStyle w:val="ConsPlusNormal"/>
        <w:spacing w:before="220"/>
        <w:ind w:firstLine="540"/>
        <w:jc w:val="both"/>
      </w:pPr>
      <w:r>
        <w:t>П</w:t>
      </w:r>
      <w:r w:rsidR="00FB1672">
        <w:t>рограммный формат бюджета муниципального района позволяет соотнести расходы бюджета с целевыми показателями отраслевого развития и оценить эффективность использования финансовых ресурсов.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Вместе с </w:t>
      </w:r>
      <w:proofErr w:type="gramStart"/>
      <w:r>
        <w:t>тем</w:t>
      </w:r>
      <w:r w:rsidR="00C2280D">
        <w:t>,</w:t>
      </w:r>
      <w:r>
        <w:t xml:space="preserve">  </w:t>
      </w:r>
      <w:r w:rsidR="00C2280D">
        <w:t>н</w:t>
      </w:r>
      <w:r>
        <w:t>овые</w:t>
      </w:r>
      <w:proofErr w:type="gramEnd"/>
      <w:r>
        <w:t xml:space="preserve"> расходные обязательства должны приниматься только на основе тщательной оценки их эффективности и при наличии ресурсов для их гарантированного исполнения в пределах принятых бюджетных ограничений. Этот подход особенно важен при принятии расходных обязательств на долгосрочную перспективу в рамках формирования программного бюджета.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Также в муниципальной программе запланирован комплекс мероприятий по контролю за недопущением возникновения просроченной задолженности по обязательствам района.</w:t>
      </w:r>
      <w:r w:rsidR="0040037B">
        <w:t xml:space="preserve"> В последние </w:t>
      </w:r>
      <w:proofErr w:type="gramStart"/>
      <w:r w:rsidR="0040037B">
        <w:t>годы  просроченной</w:t>
      </w:r>
      <w:proofErr w:type="gramEnd"/>
      <w:r w:rsidR="0040037B">
        <w:t xml:space="preserve"> кредиторской  задолженности</w:t>
      </w:r>
      <w:r w:rsidR="005A6317">
        <w:t xml:space="preserve"> в целом по консолидированному  бюджету не имеется. Вместе с тем, необходимо сосредоточить усилия для </w:t>
      </w:r>
      <w:proofErr w:type="gramStart"/>
      <w:r w:rsidR="005A6317">
        <w:t>недопущения  просроченной</w:t>
      </w:r>
      <w:proofErr w:type="gramEnd"/>
      <w:r w:rsidR="005A6317">
        <w:t xml:space="preserve"> </w:t>
      </w:r>
      <w:r w:rsidR="00C2280D">
        <w:t xml:space="preserve"> кредиторской задолженности.</w:t>
      </w:r>
      <w:r w:rsidR="005A6317">
        <w:t xml:space="preserve"> 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2"/>
      </w:pPr>
      <w:r>
        <w:t>1.2. Вопросы, связанные с повышением качества управления</w:t>
      </w:r>
    </w:p>
    <w:p w:rsidR="00FB1672" w:rsidRDefault="00FB1672">
      <w:pPr>
        <w:pStyle w:val="ConsPlusTitle"/>
        <w:jc w:val="center"/>
      </w:pPr>
      <w:r>
        <w:t>муниципальными финансами, совершенствования процедур</w:t>
      </w:r>
    </w:p>
    <w:p w:rsidR="00FB1672" w:rsidRDefault="00FB1672">
      <w:pPr>
        <w:pStyle w:val="ConsPlusTitle"/>
        <w:jc w:val="center"/>
      </w:pPr>
      <w:r>
        <w:t>бюджетного процесса, проведения эффективной долговой</w:t>
      </w:r>
    </w:p>
    <w:p w:rsidR="00FB1672" w:rsidRDefault="00FB1672">
      <w:pPr>
        <w:pStyle w:val="ConsPlusTitle"/>
        <w:jc w:val="center"/>
      </w:pPr>
      <w:r>
        <w:t>политики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 xml:space="preserve">В последние годы предприняты активные меры по повышению эффективности муниципального управления в сфере бюджетных финансов. Однако в данном направлении должны быть приняты исчерпывающие меры, направленные на оптимизацию бюджетных финансов и повышение качества управления муниципальными финансами и осуществления бюджетного процесса </w:t>
      </w:r>
      <w:proofErr w:type="gramStart"/>
      <w:r>
        <w:t>в  районе</w:t>
      </w:r>
      <w:proofErr w:type="gramEnd"/>
      <w:r>
        <w:t>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Показателем успешности осуществления вышеуказанных мер должны стать достижение и поддержание районом высокого рейтинга качества </w:t>
      </w:r>
      <w:r>
        <w:lastRenderedPageBreak/>
        <w:t>организации и осуществления бюджетного процесса в проводимом министерством финансов Калужской области мониторинге и оценке качества управления бюджетным процессом в муниципальных образованиях Калужской области.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Одной из важных задач управления муниципальными финансами является обеспечение долгосрочной сбалансированности и устойчивости бюджетной </w:t>
      </w:r>
      <w:proofErr w:type="gramStart"/>
      <w:r>
        <w:t>системы  района</w:t>
      </w:r>
      <w:proofErr w:type="gramEnd"/>
      <w:r>
        <w:t>. Мероприятия предполагается реализовать в рамках тактических задач по эффективному управлению муниципальным долгом, недопущению образования просроченной кредиторской задолженности муниципального бюджета.</w:t>
      </w:r>
    </w:p>
    <w:p w:rsidR="00151DC0" w:rsidRDefault="00151DC0">
      <w:pPr>
        <w:pStyle w:val="ConsPlusNormal"/>
        <w:spacing w:before="220"/>
        <w:ind w:firstLine="540"/>
        <w:jc w:val="both"/>
      </w:pPr>
      <w:r>
        <w:t xml:space="preserve">В рамках реализации муниципальной программы </w:t>
      </w:r>
      <w:proofErr w:type="gramStart"/>
      <w:r>
        <w:t>ставится  первоочередная</w:t>
      </w:r>
      <w:proofErr w:type="gramEnd"/>
      <w:r>
        <w:t xml:space="preserve"> задача обеспечить сохранение  оценки качества бюджетного процесса в районе не ниже 100 баллов.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В современных условиях для эффективной работы бюджетной системы необходимы не только выверенные своевременные управленческие решения, наличие актуализированной нормативной правовой базы, постоянный мониторинг бюджетных процессов и показателей, но также инновационные решения, основанные на использовании новейших информационных технологий.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В настоящее время в районе используется широкий инструментарий различных информационных систем и технических средств, позволяющих автоматизировать значительное количество бюджетных процедур.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Для придания дополнительного импульса развитию системы управления муниципальными финансами необходимо формирование информационного пространства, объединяющего этапы и процедуры бюджетного процесса. Для этого необходимо развить существующую автоматизированную систему управления бюджетным процессом, внедряя в нее ряд инновационных информационных технологий, обеспечивающих интеграцию этапов составления, исполнения бюджета, формирования и свода отчетности об исполнении </w:t>
      </w:r>
      <w:proofErr w:type="gramStart"/>
      <w:r>
        <w:t>бюджетов  района</w:t>
      </w:r>
      <w:proofErr w:type="gramEnd"/>
      <w:r>
        <w:t>, в том числе на основе развития комплекса технических средств.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2"/>
      </w:pPr>
      <w:r>
        <w:t>1.3. Вопросы, связанные с развитием доходного потенциала</w:t>
      </w:r>
    </w:p>
    <w:p w:rsidR="00FB1672" w:rsidRDefault="00151DC0">
      <w:pPr>
        <w:pStyle w:val="ConsPlusTitle"/>
        <w:jc w:val="center"/>
      </w:pPr>
      <w:r>
        <w:t xml:space="preserve"> бюджета муниципального района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 xml:space="preserve">В настоящее время реализации мер, направленных на сохранение и увеличение доходного </w:t>
      </w:r>
      <w:proofErr w:type="gramStart"/>
      <w:r>
        <w:t>потенциала  района</w:t>
      </w:r>
      <w:proofErr w:type="gramEnd"/>
      <w:r>
        <w:t>, уделяется большое внимание.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Одним из инструментов обеспечения роста доходов консолидированного бюджета района является реализация мер, направленных на привлечение инвестиций на территорию района, а также проектов по модернизации производства.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Одновременно проводятся мероприятия по улучшению администрирования доходов, контролю за выплатой работодателями заработной платы, противодействию уклонению от уплаты налогов посредством повышения уровня взаимодействия органов власти </w:t>
      </w:r>
      <w:r w:rsidR="00151DC0">
        <w:t>местного самоуправления</w:t>
      </w:r>
      <w:r>
        <w:t xml:space="preserve"> района.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Будет продолжено сотрудничество с крупными налогоплательщиками области, что обеспечит прозрачность и стабильность формирования доходной базы.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При этом особое внимание должно быть уделено повышению роли имущественных налогов </w:t>
      </w:r>
      <w:r w:rsidR="00151DC0">
        <w:t>в форм</w:t>
      </w:r>
      <w:r>
        <w:t>ировании местных налогов, расширению возможностей влияния органов местного самоуправления на укрепление доходной базы местных бюджетов, в том числе в части полного учета объектов недвижимости и их оценки для целей налогообложения.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В настоящее время на местном уровне остаются проблемы в части налогового администрирования по местным налогам. Для решения данных проблем планируется повысить использование потенциала имущественных налогов, в первую очередь за счет проведения мероприятий по постановке на </w:t>
      </w:r>
      <w:r>
        <w:lastRenderedPageBreak/>
        <w:t>налоговый учет объектов недвижимого имущества для привлечения их к налогообложению, а также по снижению задолженности по обязательным платежам в бюджетную систему.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2"/>
      </w:pPr>
      <w:r>
        <w:t>1.4. Вопросы, связанные с повышением квалификации, связанные</w:t>
      </w:r>
    </w:p>
    <w:p w:rsidR="00FB1672" w:rsidRDefault="00FB1672">
      <w:pPr>
        <w:pStyle w:val="ConsPlusTitle"/>
        <w:jc w:val="center"/>
      </w:pPr>
      <w:r>
        <w:t>с повышением квалификации работников, осуществляющих</w:t>
      </w:r>
    </w:p>
    <w:p w:rsidR="00FB1672" w:rsidRDefault="00FB1672">
      <w:pPr>
        <w:pStyle w:val="ConsPlusTitle"/>
        <w:jc w:val="center"/>
      </w:pPr>
      <w:r>
        <w:t>профессиональную деятельность в области управления</w:t>
      </w:r>
    </w:p>
    <w:p w:rsidR="00FB1672" w:rsidRDefault="00FB1672">
      <w:pPr>
        <w:pStyle w:val="ConsPlusTitle"/>
        <w:jc w:val="center"/>
      </w:pPr>
      <w:r>
        <w:t>общественными финансами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Для решения поставленных в рамках муниципальной программы задач необходима скоординированная работа по повышению квалификации работников финансового </w:t>
      </w:r>
      <w:r w:rsidR="00E92309">
        <w:t>отдела администрации МР «Мещовский район».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Выполнение обучающих мероприятий позволит существенно повысить уровень знаний работников финансов</w:t>
      </w:r>
      <w:r w:rsidR="00E92309">
        <w:t>ого отдела администрации района</w:t>
      </w:r>
      <w:r>
        <w:t>, что в современных условиях является необходимым условием дальнейшего развития системы общественных финансов.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Для придания этой работе системного характера, выработки четких критериев успеха проводимых изменений целесообразна разработка комплексной программы совершенствования системы управления общественными финансами. Реализация муниципальной программы позволит: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определить основные проблемы, сформировать целостное видение необходимых изменений в функционировании бюджетной системы, сформулировать основные направления изменений и ожидаемые результаты;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сформировать системный комплекс подходов, который позволит поэтапно за период реализации программы достичь поставленных целей;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обеспечить увязку текущей деятельности финансовых органов по управлению бюджетными финансами с достижением долгосрочных целей и задач, а также прозрачность и измеримость результатов программы.</w:t>
      </w:r>
    </w:p>
    <w:p w:rsidR="00FB32F2" w:rsidRDefault="00FB32F2">
      <w:pPr>
        <w:pStyle w:val="ConsPlusNormal"/>
        <w:spacing w:before="220"/>
        <w:ind w:firstLine="540"/>
        <w:jc w:val="both"/>
      </w:pPr>
    </w:p>
    <w:p w:rsidR="00FB1672" w:rsidRDefault="00FB1672">
      <w:pPr>
        <w:pStyle w:val="ConsPlusTitle"/>
        <w:jc w:val="center"/>
        <w:outlineLvl w:val="1"/>
      </w:pPr>
      <w:r>
        <w:t>Раздел II. ПРИОРИТЕТЫ МУНИЦИПАЛЬНОЙ ПОЛИТИКИ В СФЕРЕ</w:t>
      </w:r>
    </w:p>
    <w:p w:rsidR="00FB1672" w:rsidRDefault="00FB1672">
      <w:pPr>
        <w:pStyle w:val="ConsPlusTitle"/>
        <w:jc w:val="center"/>
      </w:pPr>
      <w:r>
        <w:t>РЕАЛИЗАЦИИ МУНИЦИПАЛЬНОЙ ПРОГРАММЫ, ЦЕЛИ, ЗАДАЧИ</w:t>
      </w:r>
    </w:p>
    <w:p w:rsidR="00FB1672" w:rsidRDefault="00FB1672">
      <w:pPr>
        <w:pStyle w:val="ConsPlusTitle"/>
        <w:jc w:val="center"/>
      </w:pPr>
      <w:r>
        <w:t>И ИНДИКАТОРЫ ДОСТИЖЕНИЯ ЦЕЛЕЙ И РЕШЕНИЯ ЗАДАЧ, ОСНОВНЫЕ</w:t>
      </w:r>
    </w:p>
    <w:p w:rsidR="00FB1672" w:rsidRDefault="00FB1672">
      <w:pPr>
        <w:pStyle w:val="ConsPlusTitle"/>
        <w:jc w:val="center"/>
      </w:pPr>
      <w:r>
        <w:t>ОЖИДАЕМЫЕ КОНЕЧНЫЕ РЕЗУЛЬТАТЫ МУНИЦИПАЛЬНОЙ ПРОГРАММЫ, СРОКИ</w:t>
      </w:r>
    </w:p>
    <w:p w:rsidR="00FB1672" w:rsidRDefault="00FB1672">
      <w:pPr>
        <w:pStyle w:val="ConsPlusTitle"/>
        <w:jc w:val="center"/>
      </w:pPr>
      <w:r>
        <w:t>И ЭТАПЫ РЕАЛИЗАЦИИ МУНИЦИПАЛЬНОЙ 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2"/>
      </w:pPr>
      <w:r>
        <w:t>Приоритеты муниципальной политики в сфере реализации</w:t>
      </w:r>
    </w:p>
    <w:p w:rsidR="00FB1672" w:rsidRDefault="00FB1672">
      <w:pPr>
        <w:pStyle w:val="ConsPlusTitle"/>
        <w:jc w:val="center"/>
      </w:pPr>
      <w:r>
        <w:t>муниципальной 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>Приоритетами муниципальной политики в сфере реализации муниципальной программы являются: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- определение приоритетных расходов районного бюджета с учетом их влияния на достижение целей и задач муниципальных </w:t>
      </w:r>
      <w:proofErr w:type="gramStart"/>
      <w:r>
        <w:t>программ  района</w:t>
      </w:r>
      <w:proofErr w:type="gramEnd"/>
      <w:r>
        <w:t>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- оптимизация бюджетных расходов, имеющих низкую степень эффективности и не оказывающих ускоренного влияния на социально-экономическое </w:t>
      </w:r>
      <w:proofErr w:type="gramStart"/>
      <w:r>
        <w:t>развитие  района</w:t>
      </w:r>
      <w:proofErr w:type="gramEnd"/>
      <w:r>
        <w:t>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lastRenderedPageBreak/>
        <w:t>- совершенствование программно-целевых методов управления общественными финансами;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обеспечение достоверного прогнозирования доходов районного бюджета;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мобилизация доходов районного бюджета;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- обеспечение эффективного </w:t>
      </w:r>
      <w:proofErr w:type="gramStart"/>
      <w:r>
        <w:t xml:space="preserve">управления </w:t>
      </w:r>
      <w:r w:rsidR="00E92309">
        <w:t xml:space="preserve"> муниципальным</w:t>
      </w:r>
      <w:proofErr w:type="gramEnd"/>
      <w:r>
        <w:t xml:space="preserve"> долгом  района</w:t>
      </w:r>
      <w:r w:rsidR="00E92309">
        <w:t>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- повышение эффективности системы межбюджетных отношений </w:t>
      </w:r>
      <w:proofErr w:type="gramStart"/>
      <w:r>
        <w:t>в  районе</w:t>
      </w:r>
      <w:proofErr w:type="gramEnd"/>
      <w:r>
        <w:t>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- повышение качества управления и стимулирование финансовой устойчивости местных бюджетов муниципальных </w:t>
      </w:r>
      <w:proofErr w:type="gramStart"/>
      <w:r>
        <w:t>образований  района</w:t>
      </w:r>
      <w:proofErr w:type="gramEnd"/>
      <w:r>
        <w:t>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обеспечение своевременного и качественного формирования и исполнения районного бюджета;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- повышение степени прозрачности и открытости бюджетов и бюджетного процесса </w:t>
      </w:r>
      <w:proofErr w:type="gramStart"/>
      <w:r>
        <w:t>в  районе</w:t>
      </w:r>
      <w:proofErr w:type="gramEnd"/>
      <w:r>
        <w:t>.</w:t>
      </w:r>
    </w:p>
    <w:p w:rsidR="00E00486" w:rsidRDefault="00E00486">
      <w:pPr>
        <w:pStyle w:val="ConsPlusTitle"/>
        <w:jc w:val="center"/>
        <w:outlineLvl w:val="2"/>
      </w:pPr>
    </w:p>
    <w:p w:rsidR="00FB1672" w:rsidRDefault="00FB1672">
      <w:pPr>
        <w:pStyle w:val="ConsPlusTitle"/>
        <w:jc w:val="center"/>
        <w:outlineLvl w:val="2"/>
      </w:pPr>
      <w:r>
        <w:t>Цели и задачи муниципальной 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>Цель муниципальной программы - повышение качества управления муниципальными финансами.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На сегодняшний день одна из самых актуальных тем в области реформирования бюджетного процесса </w:t>
      </w:r>
      <w:proofErr w:type="gramStart"/>
      <w:r>
        <w:t>- это эффективное и рациональное использование</w:t>
      </w:r>
      <w:proofErr w:type="gramEnd"/>
      <w:r>
        <w:t xml:space="preserve"> бюджетных средств. Решение данного вопроса актуально не только при разработке муниципальных программ, но и в первую очередь при их реализации участниками бюджетного процесса. Организация рационального и эффективного расходования бюджетных ресурсов существенно влияет на достижение оптимальных параметров функционирования экономики и решение стоящих перед государством приоритетных задач. Данное требование диктует необходимость оценки результативности и эффективности расходования бюджета. Под эффективностью расходования бюджетных средств следует понимать достижение поставленных целей и задач в рамках реализации муниципальных программ путем соотношения полученного результата и произведенных затрат.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Указанная цель достигается посредством решения следующих тактических задач.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Задача 1. Повышение эффективности бюджетных расходов и совершенствование системы управления бюджетным процессом.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Задача 2. Повышение эффективности </w:t>
      </w:r>
      <w:proofErr w:type="gramStart"/>
      <w:r>
        <w:t>управления  муниципальным</w:t>
      </w:r>
      <w:proofErr w:type="gramEnd"/>
      <w:r>
        <w:t xml:space="preserve"> долгом.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Задача 3. Развитие доходного </w:t>
      </w:r>
      <w:proofErr w:type="gramStart"/>
      <w:r>
        <w:t>потенциала  района</w:t>
      </w:r>
      <w:proofErr w:type="gramEnd"/>
      <w:r>
        <w:t>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Задача 4. Совершенствование финансового контроля и снижение просроченной кредиторской задолженности.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Задача 5. Повышение квалификации работников общественных финансов.</w:t>
      </w:r>
    </w:p>
    <w:p w:rsidR="00FB1672" w:rsidRDefault="00FB1672">
      <w:pPr>
        <w:pStyle w:val="ConsPlusNormal"/>
        <w:jc w:val="both"/>
      </w:pPr>
    </w:p>
    <w:p w:rsidR="00FB1672" w:rsidRDefault="00FB1672" w:rsidP="00E00486">
      <w:pPr>
        <w:pStyle w:val="ConsPlusTitle"/>
        <w:jc w:val="center"/>
        <w:outlineLvl w:val="2"/>
      </w:pPr>
      <w:r>
        <w:t>Индикаторы достижения целей и решения задач муниципальной</w:t>
      </w:r>
      <w:r w:rsidR="00E00486">
        <w:t xml:space="preserve"> </w:t>
      </w:r>
      <w:r>
        <w:t>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>Для решения поставленных задач устанавливаются следующие индикаторы:</w:t>
      </w:r>
    </w:p>
    <w:p w:rsidR="00FB1672" w:rsidRDefault="00FB1672">
      <w:pPr>
        <w:pStyle w:val="ConsPlusNormal"/>
        <w:jc w:val="both"/>
      </w:pPr>
    </w:p>
    <w:tbl>
      <w:tblPr>
        <w:tblStyle w:val="a5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659"/>
        <w:gridCol w:w="758"/>
        <w:gridCol w:w="284"/>
        <w:gridCol w:w="969"/>
        <w:gridCol w:w="422"/>
        <w:gridCol w:w="1303"/>
        <w:gridCol w:w="1701"/>
        <w:gridCol w:w="1275"/>
        <w:gridCol w:w="1418"/>
        <w:gridCol w:w="1559"/>
        <w:gridCol w:w="1701"/>
      </w:tblGrid>
      <w:tr w:rsidR="00AB7AD1" w:rsidRPr="00AB7AD1" w:rsidTr="00F10688">
        <w:trPr>
          <w:trHeight w:val="517"/>
        </w:trPr>
        <w:tc>
          <w:tcPr>
            <w:tcW w:w="426" w:type="dxa"/>
            <w:vMerge w:val="restart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lastRenderedPageBreak/>
              <w:t> </w:t>
            </w:r>
          </w:p>
        </w:tc>
        <w:tc>
          <w:tcPr>
            <w:tcW w:w="2835" w:type="dxa"/>
            <w:vMerge w:val="restart"/>
            <w:hideMark/>
          </w:tcPr>
          <w:p w:rsidR="00B21208" w:rsidRDefault="00B21208" w:rsidP="00B21208">
            <w:pPr>
              <w:pStyle w:val="ConsPlusNormal"/>
              <w:jc w:val="center"/>
            </w:pPr>
          </w:p>
          <w:p w:rsidR="00B21208" w:rsidRDefault="00B21208" w:rsidP="00B21208">
            <w:pPr>
              <w:pStyle w:val="ConsPlusNormal"/>
              <w:jc w:val="center"/>
            </w:pPr>
          </w:p>
          <w:p w:rsidR="00B21208" w:rsidRDefault="00B21208" w:rsidP="00B21208">
            <w:pPr>
              <w:pStyle w:val="ConsPlusNormal"/>
              <w:jc w:val="center"/>
            </w:pPr>
          </w:p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Наименование индикатора (показателя)</w:t>
            </w:r>
          </w:p>
        </w:tc>
        <w:tc>
          <w:tcPr>
            <w:tcW w:w="659" w:type="dxa"/>
            <w:vMerge w:val="restart"/>
            <w:hideMark/>
          </w:tcPr>
          <w:p w:rsidR="00B21208" w:rsidRDefault="00B21208" w:rsidP="00B21208">
            <w:pPr>
              <w:pStyle w:val="ConsPlusNormal"/>
              <w:jc w:val="center"/>
            </w:pPr>
          </w:p>
          <w:p w:rsidR="00B21208" w:rsidRDefault="00B21208" w:rsidP="00B21208">
            <w:pPr>
              <w:pStyle w:val="ConsPlusNormal"/>
              <w:jc w:val="center"/>
            </w:pPr>
          </w:p>
          <w:p w:rsidR="00B21208" w:rsidRDefault="00B21208" w:rsidP="00B21208">
            <w:pPr>
              <w:pStyle w:val="ConsPlusNormal"/>
              <w:jc w:val="center"/>
            </w:pPr>
          </w:p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Ед. изм.</w:t>
            </w:r>
          </w:p>
        </w:tc>
        <w:tc>
          <w:tcPr>
            <w:tcW w:w="11390" w:type="dxa"/>
            <w:gridSpan w:val="10"/>
            <w:vMerge w:val="restart"/>
            <w:hideMark/>
          </w:tcPr>
          <w:p w:rsidR="00B21208" w:rsidRDefault="00B21208" w:rsidP="00B21208">
            <w:pPr>
              <w:pStyle w:val="ConsPlusNormal"/>
              <w:jc w:val="center"/>
            </w:pPr>
          </w:p>
          <w:p w:rsidR="00B21208" w:rsidRDefault="00B21208" w:rsidP="00B21208">
            <w:pPr>
              <w:pStyle w:val="ConsPlusNormal"/>
              <w:jc w:val="center"/>
            </w:pPr>
          </w:p>
          <w:p w:rsidR="00B21208" w:rsidRDefault="00B21208" w:rsidP="00B21208">
            <w:pPr>
              <w:pStyle w:val="ConsPlusNormal"/>
              <w:jc w:val="center"/>
            </w:pPr>
          </w:p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Значение по годам</w:t>
            </w:r>
          </w:p>
        </w:tc>
      </w:tr>
      <w:tr w:rsidR="00AB7AD1" w:rsidRPr="00AB7AD1" w:rsidTr="00F10688">
        <w:trPr>
          <w:trHeight w:val="517"/>
        </w:trPr>
        <w:tc>
          <w:tcPr>
            <w:tcW w:w="426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2835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659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11390" w:type="dxa"/>
            <w:gridSpan w:val="10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</w:tr>
      <w:tr w:rsidR="00AB7AD1" w:rsidRPr="00AB7AD1" w:rsidTr="00F10688">
        <w:trPr>
          <w:trHeight w:val="517"/>
        </w:trPr>
        <w:tc>
          <w:tcPr>
            <w:tcW w:w="426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2835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659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11390" w:type="dxa"/>
            <w:gridSpan w:val="10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</w:tr>
      <w:tr w:rsidR="00AB7AD1" w:rsidRPr="00AB7AD1" w:rsidTr="00F10688">
        <w:trPr>
          <w:trHeight w:val="517"/>
        </w:trPr>
        <w:tc>
          <w:tcPr>
            <w:tcW w:w="426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2835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659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11390" w:type="dxa"/>
            <w:gridSpan w:val="10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</w:tr>
      <w:tr w:rsidR="00AB7AD1" w:rsidRPr="00AB7AD1" w:rsidTr="00F10688">
        <w:trPr>
          <w:trHeight w:val="517"/>
        </w:trPr>
        <w:tc>
          <w:tcPr>
            <w:tcW w:w="426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2835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659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11390" w:type="dxa"/>
            <w:gridSpan w:val="10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</w:tr>
      <w:tr w:rsidR="00AB7AD1" w:rsidRPr="00AB7AD1" w:rsidTr="00F10688">
        <w:trPr>
          <w:trHeight w:val="315"/>
        </w:trPr>
        <w:tc>
          <w:tcPr>
            <w:tcW w:w="426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2835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659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758" w:type="dxa"/>
            <w:vMerge w:val="restart"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2022</w:t>
            </w:r>
          </w:p>
        </w:tc>
        <w:tc>
          <w:tcPr>
            <w:tcW w:w="1253" w:type="dxa"/>
            <w:gridSpan w:val="2"/>
            <w:vMerge w:val="restart"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2023</w:t>
            </w:r>
          </w:p>
        </w:tc>
        <w:tc>
          <w:tcPr>
            <w:tcW w:w="9379" w:type="dxa"/>
            <w:gridSpan w:val="7"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Годы реализации муниципальной программы</w:t>
            </w:r>
          </w:p>
        </w:tc>
      </w:tr>
      <w:tr w:rsidR="00AB7AD1" w:rsidRPr="00AB7AD1" w:rsidTr="00F10688">
        <w:trPr>
          <w:trHeight w:val="315"/>
        </w:trPr>
        <w:tc>
          <w:tcPr>
            <w:tcW w:w="426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2835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659" w:type="dxa"/>
            <w:vMerge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</w:p>
        </w:tc>
        <w:tc>
          <w:tcPr>
            <w:tcW w:w="758" w:type="dxa"/>
            <w:vMerge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</w:p>
        </w:tc>
        <w:tc>
          <w:tcPr>
            <w:tcW w:w="1253" w:type="dxa"/>
            <w:gridSpan w:val="2"/>
            <w:vMerge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</w:p>
        </w:tc>
        <w:tc>
          <w:tcPr>
            <w:tcW w:w="1725" w:type="dxa"/>
            <w:gridSpan w:val="2"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2024</w:t>
            </w:r>
          </w:p>
        </w:tc>
        <w:tc>
          <w:tcPr>
            <w:tcW w:w="1701" w:type="dxa"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2025</w:t>
            </w:r>
          </w:p>
        </w:tc>
        <w:tc>
          <w:tcPr>
            <w:tcW w:w="1275" w:type="dxa"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2026</w:t>
            </w:r>
          </w:p>
        </w:tc>
        <w:tc>
          <w:tcPr>
            <w:tcW w:w="1418" w:type="dxa"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2027</w:t>
            </w:r>
          </w:p>
        </w:tc>
        <w:tc>
          <w:tcPr>
            <w:tcW w:w="1559" w:type="dxa"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2028</w:t>
            </w:r>
          </w:p>
        </w:tc>
        <w:tc>
          <w:tcPr>
            <w:tcW w:w="1701" w:type="dxa"/>
            <w:hideMark/>
          </w:tcPr>
          <w:p w:rsidR="00AB7AD1" w:rsidRPr="00AB7AD1" w:rsidRDefault="00AB7AD1" w:rsidP="00B21208">
            <w:pPr>
              <w:pStyle w:val="ConsPlusNormal"/>
              <w:jc w:val="center"/>
            </w:pPr>
            <w:r w:rsidRPr="00AB7AD1">
              <w:t>2029</w:t>
            </w:r>
          </w:p>
        </w:tc>
      </w:tr>
      <w:tr w:rsidR="00AB7AD1" w:rsidRPr="00AB7AD1" w:rsidTr="00F10688">
        <w:trPr>
          <w:trHeight w:val="315"/>
        </w:trPr>
        <w:tc>
          <w:tcPr>
            <w:tcW w:w="15310" w:type="dxa"/>
            <w:gridSpan w:val="13"/>
            <w:hideMark/>
          </w:tcPr>
          <w:p w:rsidR="00AB7AD1" w:rsidRPr="00FF6852" w:rsidRDefault="00AB7AD1" w:rsidP="00AB7AD1">
            <w:pPr>
              <w:pStyle w:val="ConsPlusNormal"/>
              <w:jc w:val="both"/>
              <w:rPr>
                <w:b/>
                <w:bCs/>
              </w:rPr>
            </w:pPr>
            <w:r w:rsidRPr="00FF6852">
              <w:rPr>
                <w:b/>
                <w:bCs/>
              </w:rPr>
              <w:t>Задача 1. Повышение эффективности бюджетных расходов и совершенствование системы управления бюджетным процессом</w:t>
            </w:r>
          </w:p>
        </w:tc>
      </w:tr>
      <w:tr w:rsidR="00AB7AD1" w:rsidRPr="00AB7AD1" w:rsidTr="00F10688">
        <w:trPr>
          <w:trHeight w:val="1416"/>
        </w:trPr>
        <w:tc>
          <w:tcPr>
            <w:tcW w:w="426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 </w:t>
            </w:r>
          </w:p>
        </w:tc>
        <w:tc>
          <w:tcPr>
            <w:tcW w:w="2835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Степень качества организации и осуществления бюджетного процесса в МР «Мещовский район»</w:t>
            </w:r>
          </w:p>
        </w:tc>
        <w:tc>
          <w:tcPr>
            <w:tcW w:w="6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%</w:t>
            </w:r>
          </w:p>
        </w:tc>
        <w:tc>
          <w:tcPr>
            <w:tcW w:w="1042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100</w:t>
            </w:r>
          </w:p>
        </w:tc>
        <w:tc>
          <w:tcPr>
            <w:tcW w:w="1391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100</w:t>
            </w:r>
          </w:p>
        </w:tc>
        <w:tc>
          <w:tcPr>
            <w:tcW w:w="1303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100</w:t>
            </w:r>
          </w:p>
        </w:tc>
        <w:tc>
          <w:tcPr>
            <w:tcW w:w="1701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100</w:t>
            </w:r>
          </w:p>
        </w:tc>
        <w:tc>
          <w:tcPr>
            <w:tcW w:w="1275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100</w:t>
            </w:r>
          </w:p>
        </w:tc>
        <w:tc>
          <w:tcPr>
            <w:tcW w:w="1418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100</w:t>
            </w:r>
          </w:p>
        </w:tc>
        <w:tc>
          <w:tcPr>
            <w:tcW w:w="15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100</w:t>
            </w:r>
          </w:p>
        </w:tc>
        <w:tc>
          <w:tcPr>
            <w:tcW w:w="1701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100</w:t>
            </w:r>
          </w:p>
        </w:tc>
      </w:tr>
      <w:tr w:rsidR="00AB7AD1" w:rsidRPr="00AB7AD1" w:rsidTr="00F10688">
        <w:trPr>
          <w:trHeight w:val="1690"/>
        </w:trPr>
        <w:tc>
          <w:tcPr>
            <w:tcW w:w="426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 </w:t>
            </w:r>
          </w:p>
        </w:tc>
        <w:tc>
          <w:tcPr>
            <w:tcW w:w="2835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Доля расходов, осуществляемых в рамках программно-целевого метода, в общем объеме расходов бюджета муниципального района</w:t>
            </w:r>
          </w:p>
        </w:tc>
        <w:tc>
          <w:tcPr>
            <w:tcW w:w="6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%</w:t>
            </w:r>
          </w:p>
        </w:tc>
        <w:tc>
          <w:tcPr>
            <w:tcW w:w="1042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99,8</w:t>
            </w:r>
          </w:p>
        </w:tc>
        <w:tc>
          <w:tcPr>
            <w:tcW w:w="1391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99,7</w:t>
            </w:r>
          </w:p>
        </w:tc>
        <w:tc>
          <w:tcPr>
            <w:tcW w:w="1303" w:type="dxa"/>
            <w:hideMark/>
          </w:tcPr>
          <w:p w:rsidR="00AB7AD1" w:rsidRPr="00EA08A3" w:rsidRDefault="00EA08A3" w:rsidP="00EA08A3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701" w:type="dxa"/>
            <w:hideMark/>
          </w:tcPr>
          <w:p w:rsidR="00AB7AD1" w:rsidRPr="00AB7AD1" w:rsidRDefault="00EA08A3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275" w:type="dxa"/>
            <w:hideMark/>
          </w:tcPr>
          <w:p w:rsidR="00AB7AD1" w:rsidRPr="00AB7AD1" w:rsidRDefault="00EA08A3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418" w:type="dxa"/>
            <w:hideMark/>
          </w:tcPr>
          <w:p w:rsidR="00AB7AD1" w:rsidRPr="00AB7AD1" w:rsidRDefault="00EA08A3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559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701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</w:tr>
      <w:tr w:rsidR="00AB7AD1" w:rsidRPr="00AB7AD1" w:rsidTr="00F10688">
        <w:trPr>
          <w:trHeight w:val="2267"/>
        </w:trPr>
        <w:tc>
          <w:tcPr>
            <w:tcW w:w="426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 </w:t>
            </w:r>
          </w:p>
        </w:tc>
        <w:tc>
          <w:tcPr>
            <w:tcW w:w="2835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Доля расходов консолидированного бюджета района, формируемых в рамках программ, в общем объеме расходов консолидированного бюджета района</w:t>
            </w:r>
          </w:p>
        </w:tc>
        <w:tc>
          <w:tcPr>
            <w:tcW w:w="6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%</w:t>
            </w:r>
          </w:p>
        </w:tc>
        <w:tc>
          <w:tcPr>
            <w:tcW w:w="1042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99,6</w:t>
            </w:r>
          </w:p>
        </w:tc>
        <w:tc>
          <w:tcPr>
            <w:tcW w:w="1391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99,6</w:t>
            </w:r>
          </w:p>
        </w:tc>
        <w:tc>
          <w:tcPr>
            <w:tcW w:w="1303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701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275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418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559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  <w:tc>
          <w:tcPr>
            <w:tcW w:w="1701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95,0</w:t>
            </w:r>
          </w:p>
        </w:tc>
      </w:tr>
      <w:tr w:rsidR="00AB7AD1" w:rsidRPr="00AB7AD1" w:rsidTr="00F10688">
        <w:trPr>
          <w:trHeight w:val="315"/>
        </w:trPr>
        <w:tc>
          <w:tcPr>
            <w:tcW w:w="15310" w:type="dxa"/>
            <w:gridSpan w:val="13"/>
            <w:hideMark/>
          </w:tcPr>
          <w:p w:rsidR="00AB7AD1" w:rsidRPr="00FF6852" w:rsidRDefault="00AB7AD1" w:rsidP="00AB7AD1">
            <w:pPr>
              <w:pStyle w:val="ConsPlusNormal"/>
              <w:jc w:val="both"/>
              <w:rPr>
                <w:b/>
                <w:bCs/>
              </w:rPr>
            </w:pPr>
            <w:r w:rsidRPr="00FF6852">
              <w:rPr>
                <w:b/>
                <w:bCs/>
              </w:rPr>
              <w:t>Задача 2. Повышение эффективности управления муниципальным долгом</w:t>
            </w:r>
          </w:p>
        </w:tc>
      </w:tr>
      <w:tr w:rsidR="00F10688" w:rsidRPr="00AB7AD1" w:rsidTr="00F10688">
        <w:trPr>
          <w:trHeight w:val="1780"/>
        </w:trPr>
        <w:tc>
          <w:tcPr>
            <w:tcW w:w="426" w:type="dxa"/>
            <w:hideMark/>
          </w:tcPr>
          <w:p w:rsidR="00934F07" w:rsidRPr="00AB7AD1" w:rsidRDefault="00934F07" w:rsidP="00AB7AD1">
            <w:pPr>
              <w:pStyle w:val="ConsPlusNormal"/>
              <w:jc w:val="both"/>
            </w:pPr>
            <w:r w:rsidRPr="00AB7AD1">
              <w:t> </w:t>
            </w:r>
          </w:p>
        </w:tc>
        <w:tc>
          <w:tcPr>
            <w:tcW w:w="2835" w:type="dxa"/>
            <w:hideMark/>
          </w:tcPr>
          <w:p w:rsidR="00934F07" w:rsidRPr="00AB7AD1" w:rsidRDefault="00934F07" w:rsidP="00AB7AD1">
            <w:pPr>
              <w:pStyle w:val="ConsPlusNormal"/>
              <w:jc w:val="both"/>
            </w:pPr>
            <w:r w:rsidRPr="00AB7AD1">
              <w:t>Отношение объема муниципального долга к годовому объему налоговых и неналоговых доходов районного бюджета</w:t>
            </w:r>
          </w:p>
        </w:tc>
        <w:tc>
          <w:tcPr>
            <w:tcW w:w="659" w:type="dxa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%</w:t>
            </w:r>
          </w:p>
        </w:tc>
        <w:tc>
          <w:tcPr>
            <w:tcW w:w="1042" w:type="dxa"/>
            <w:gridSpan w:val="2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6</w:t>
            </w:r>
          </w:p>
        </w:tc>
        <w:tc>
          <w:tcPr>
            <w:tcW w:w="1391" w:type="dxa"/>
            <w:gridSpan w:val="2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5</w:t>
            </w:r>
          </w:p>
        </w:tc>
        <w:tc>
          <w:tcPr>
            <w:tcW w:w="1303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&lt; = </w:t>
            </w:r>
            <w:r w:rsidRPr="00F1068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01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&lt; = </w:t>
            </w:r>
            <w:r w:rsidRPr="00F1068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75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&lt; = </w:t>
            </w:r>
            <w:r w:rsidRPr="00F1068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18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&lt; = </w:t>
            </w:r>
            <w:r w:rsidRPr="00F1068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&lt; = </w:t>
            </w:r>
            <w:r w:rsidRPr="00F1068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01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&lt; = </w:t>
            </w:r>
            <w:r w:rsidRPr="00F1068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F10688" w:rsidRPr="00AB7AD1" w:rsidTr="00F10688">
        <w:trPr>
          <w:trHeight w:val="3259"/>
        </w:trPr>
        <w:tc>
          <w:tcPr>
            <w:tcW w:w="426" w:type="dxa"/>
            <w:hideMark/>
          </w:tcPr>
          <w:p w:rsidR="00934F07" w:rsidRPr="00AB7AD1" w:rsidRDefault="00934F07" w:rsidP="00AB7AD1">
            <w:pPr>
              <w:pStyle w:val="ConsPlusNormal"/>
              <w:jc w:val="both"/>
            </w:pPr>
            <w:r w:rsidRPr="00AB7AD1">
              <w:lastRenderedPageBreak/>
              <w:t> </w:t>
            </w:r>
          </w:p>
        </w:tc>
        <w:tc>
          <w:tcPr>
            <w:tcW w:w="2835" w:type="dxa"/>
            <w:hideMark/>
          </w:tcPr>
          <w:p w:rsidR="00934F07" w:rsidRPr="00AB7AD1" w:rsidRDefault="00934F07" w:rsidP="00AB7AD1">
            <w:pPr>
              <w:pStyle w:val="ConsPlusNormal"/>
              <w:jc w:val="both"/>
            </w:pPr>
            <w:r w:rsidRPr="00AB7AD1">
              <w:t>Отношение расходов на обслуживание муниципального долга района к объему расходов бюджета муниципального района, за исключением расходов, осуществляемых за счет субвенций</w:t>
            </w:r>
          </w:p>
        </w:tc>
        <w:tc>
          <w:tcPr>
            <w:tcW w:w="659" w:type="dxa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%</w:t>
            </w:r>
          </w:p>
        </w:tc>
        <w:tc>
          <w:tcPr>
            <w:tcW w:w="1042" w:type="dxa"/>
            <w:gridSpan w:val="2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0</w:t>
            </w:r>
          </w:p>
        </w:tc>
        <w:tc>
          <w:tcPr>
            <w:tcW w:w="1391" w:type="dxa"/>
            <w:gridSpan w:val="2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0</w:t>
            </w:r>
          </w:p>
        </w:tc>
        <w:tc>
          <w:tcPr>
            <w:tcW w:w="1303" w:type="dxa"/>
            <w:hideMark/>
          </w:tcPr>
          <w:p w:rsidR="00934F07" w:rsidRPr="00F10688" w:rsidRDefault="00934F07" w:rsidP="00F10688">
            <w:pPr>
              <w:pStyle w:val="ConsPlusNormal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10688">
              <w:rPr>
                <w:rFonts w:asciiTheme="minorHAnsi" w:hAnsiTheme="minorHAnsi" w:cstheme="minorHAnsi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lang w:val="en-US"/>
              </w:rPr>
              <w:t xml:space="preserve"> 50,0</w:t>
            </w:r>
          </w:p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</w:pPr>
          </w:p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50,0</w:t>
            </w:r>
          </w:p>
        </w:tc>
        <w:tc>
          <w:tcPr>
            <w:tcW w:w="1275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50,0</w:t>
            </w:r>
          </w:p>
        </w:tc>
        <w:tc>
          <w:tcPr>
            <w:tcW w:w="1418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50,0</w:t>
            </w:r>
          </w:p>
        </w:tc>
        <w:tc>
          <w:tcPr>
            <w:tcW w:w="1559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50,0</w:t>
            </w:r>
          </w:p>
        </w:tc>
        <w:tc>
          <w:tcPr>
            <w:tcW w:w="1701" w:type="dxa"/>
            <w:hideMark/>
          </w:tcPr>
          <w:p w:rsidR="00934F07" w:rsidRPr="00F10688" w:rsidRDefault="00934F07" w:rsidP="00F10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0688"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50,0</w:t>
            </w:r>
          </w:p>
        </w:tc>
      </w:tr>
      <w:tr w:rsidR="00F10688" w:rsidRPr="00AB7AD1" w:rsidTr="00F10688">
        <w:trPr>
          <w:trHeight w:val="3117"/>
        </w:trPr>
        <w:tc>
          <w:tcPr>
            <w:tcW w:w="426" w:type="dxa"/>
            <w:hideMark/>
          </w:tcPr>
          <w:p w:rsidR="00934F07" w:rsidRPr="00AB7AD1" w:rsidRDefault="00934F07" w:rsidP="00AB7AD1">
            <w:pPr>
              <w:pStyle w:val="ConsPlusNormal"/>
              <w:jc w:val="both"/>
            </w:pPr>
            <w:r w:rsidRPr="00AB7AD1">
              <w:t> </w:t>
            </w:r>
          </w:p>
        </w:tc>
        <w:tc>
          <w:tcPr>
            <w:tcW w:w="2835" w:type="dxa"/>
            <w:hideMark/>
          </w:tcPr>
          <w:p w:rsidR="00934F07" w:rsidRPr="00AB7AD1" w:rsidRDefault="00934F07" w:rsidP="00AB7AD1">
            <w:pPr>
              <w:pStyle w:val="ConsPlusNormal"/>
              <w:jc w:val="both"/>
            </w:pPr>
            <w:r w:rsidRPr="00AB7AD1">
              <w:t>Отношение дефицита бюджета муниципального района к годовому объему доходов бюджета без учета безвозмездных поступлений и поступлений налоговых доходов по дополнительным нормативам отчислений при утверждении районного бюджета</w:t>
            </w:r>
          </w:p>
        </w:tc>
        <w:tc>
          <w:tcPr>
            <w:tcW w:w="659" w:type="dxa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%</w:t>
            </w:r>
          </w:p>
        </w:tc>
        <w:tc>
          <w:tcPr>
            <w:tcW w:w="1042" w:type="dxa"/>
            <w:gridSpan w:val="2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9,5</w:t>
            </w:r>
          </w:p>
        </w:tc>
        <w:tc>
          <w:tcPr>
            <w:tcW w:w="1391" w:type="dxa"/>
            <w:gridSpan w:val="2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4,99-</w:t>
            </w:r>
          </w:p>
        </w:tc>
        <w:tc>
          <w:tcPr>
            <w:tcW w:w="1303" w:type="dxa"/>
            <w:hideMark/>
          </w:tcPr>
          <w:p w:rsidR="00934F07" w:rsidRPr="00AB7AD1" w:rsidRDefault="00934F07" w:rsidP="00AB7AD1">
            <w:pPr>
              <w:pStyle w:val="ConsPlusNormal"/>
              <w:jc w:val="center"/>
            </w:pPr>
            <w:r w:rsidRPr="00AB7AD1">
              <w:t>4,99</w:t>
            </w:r>
          </w:p>
        </w:tc>
        <w:tc>
          <w:tcPr>
            <w:tcW w:w="1701" w:type="dxa"/>
            <w:hideMark/>
          </w:tcPr>
          <w:p w:rsidR="00934F07" w:rsidRPr="00F10688" w:rsidRDefault="00934F07" w:rsidP="00934F07">
            <w:pPr>
              <w:pStyle w:val="ConsPlusNormal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10688">
              <w:rPr>
                <w:rFonts w:asciiTheme="minorHAnsi" w:hAnsiTheme="minorHAnsi" w:cstheme="minorHAnsi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lang w:val="en-US"/>
              </w:rPr>
              <w:t xml:space="preserve"> 5,0</w:t>
            </w:r>
          </w:p>
        </w:tc>
        <w:tc>
          <w:tcPr>
            <w:tcW w:w="1275" w:type="dxa"/>
            <w:hideMark/>
          </w:tcPr>
          <w:p w:rsidR="00934F07" w:rsidRPr="00F10688" w:rsidRDefault="00934F07" w:rsidP="00934F07">
            <w:pPr>
              <w:pStyle w:val="ConsPlusNormal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10688">
              <w:rPr>
                <w:rFonts w:asciiTheme="minorHAnsi" w:hAnsiTheme="minorHAnsi" w:cstheme="minorHAnsi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lang w:val="en-US"/>
              </w:rPr>
              <w:t xml:space="preserve"> 5,0</w:t>
            </w:r>
          </w:p>
        </w:tc>
        <w:tc>
          <w:tcPr>
            <w:tcW w:w="1418" w:type="dxa"/>
          </w:tcPr>
          <w:p w:rsidR="00934F07" w:rsidRPr="00F10688" w:rsidRDefault="00934F07" w:rsidP="00934F07">
            <w:pPr>
              <w:pStyle w:val="ConsPlusNormal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10688">
              <w:rPr>
                <w:rFonts w:asciiTheme="minorHAnsi" w:hAnsiTheme="minorHAnsi" w:cstheme="minorHAnsi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lang w:val="en-US"/>
              </w:rPr>
              <w:t xml:space="preserve"> 5,0</w:t>
            </w:r>
          </w:p>
        </w:tc>
        <w:tc>
          <w:tcPr>
            <w:tcW w:w="1559" w:type="dxa"/>
          </w:tcPr>
          <w:p w:rsidR="00934F07" w:rsidRPr="00F10688" w:rsidRDefault="00934F07" w:rsidP="00934F07">
            <w:pPr>
              <w:pStyle w:val="ConsPlusNormal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10688">
              <w:rPr>
                <w:rFonts w:asciiTheme="minorHAnsi" w:hAnsiTheme="minorHAnsi" w:cstheme="minorHAnsi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lang w:val="en-US"/>
              </w:rPr>
              <w:t xml:space="preserve"> 5,0</w:t>
            </w:r>
          </w:p>
        </w:tc>
        <w:tc>
          <w:tcPr>
            <w:tcW w:w="1701" w:type="dxa"/>
            <w:hideMark/>
          </w:tcPr>
          <w:p w:rsidR="00934F07" w:rsidRPr="00F10688" w:rsidRDefault="00934F07" w:rsidP="00934F07">
            <w:pPr>
              <w:pStyle w:val="ConsPlusNormal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10688">
              <w:rPr>
                <w:rFonts w:asciiTheme="minorHAnsi" w:hAnsiTheme="minorHAnsi" w:cstheme="minorHAnsi"/>
                <w:u w:val="single"/>
                <w:lang w:val="en-US"/>
              </w:rPr>
              <w:t>&lt;</w:t>
            </w:r>
            <w:r w:rsidRPr="00F10688">
              <w:rPr>
                <w:rFonts w:asciiTheme="minorHAnsi" w:hAnsiTheme="minorHAnsi" w:cstheme="minorHAnsi"/>
                <w:lang w:val="en-US"/>
              </w:rPr>
              <w:t xml:space="preserve"> 5,0</w:t>
            </w:r>
          </w:p>
        </w:tc>
      </w:tr>
      <w:tr w:rsidR="00AB7AD1" w:rsidRPr="00AB7AD1" w:rsidTr="00F10688">
        <w:trPr>
          <w:trHeight w:val="315"/>
        </w:trPr>
        <w:tc>
          <w:tcPr>
            <w:tcW w:w="15310" w:type="dxa"/>
            <w:gridSpan w:val="13"/>
            <w:hideMark/>
          </w:tcPr>
          <w:p w:rsidR="00AB7AD1" w:rsidRPr="00FF6852" w:rsidRDefault="00AB7AD1" w:rsidP="00AB7AD1">
            <w:pPr>
              <w:pStyle w:val="ConsPlusNormal"/>
              <w:jc w:val="both"/>
              <w:rPr>
                <w:b/>
                <w:bCs/>
              </w:rPr>
            </w:pPr>
            <w:r w:rsidRPr="00FF6852">
              <w:rPr>
                <w:b/>
                <w:bCs/>
              </w:rPr>
              <w:t>Задача 3. Развитие доходного потенциала района</w:t>
            </w:r>
          </w:p>
        </w:tc>
      </w:tr>
      <w:tr w:rsidR="00AB7AD1" w:rsidRPr="00AB7AD1" w:rsidTr="00F10688">
        <w:trPr>
          <w:trHeight w:val="2357"/>
        </w:trPr>
        <w:tc>
          <w:tcPr>
            <w:tcW w:w="426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 </w:t>
            </w:r>
          </w:p>
        </w:tc>
        <w:tc>
          <w:tcPr>
            <w:tcW w:w="2835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 xml:space="preserve">Доля налоговых доходов консолидированного бюджета </w:t>
            </w:r>
            <w:proofErr w:type="gramStart"/>
            <w:r w:rsidRPr="00AB7AD1">
              <w:t>муниципального  района</w:t>
            </w:r>
            <w:proofErr w:type="gramEnd"/>
            <w:r w:rsidRPr="00AB7AD1">
              <w:t xml:space="preserve"> в объеме налоговых и неналоговых доходов консолидированного бюджета района</w:t>
            </w:r>
          </w:p>
        </w:tc>
        <w:tc>
          <w:tcPr>
            <w:tcW w:w="6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%</w:t>
            </w:r>
          </w:p>
        </w:tc>
        <w:tc>
          <w:tcPr>
            <w:tcW w:w="1042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93,7</w:t>
            </w:r>
          </w:p>
        </w:tc>
        <w:tc>
          <w:tcPr>
            <w:tcW w:w="1391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96,1</w:t>
            </w:r>
          </w:p>
        </w:tc>
        <w:tc>
          <w:tcPr>
            <w:tcW w:w="1303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87,0</w:t>
            </w:r>
          </w:p>
        </w:tc>
        <w:tc>
          <w:tcPr>
            <w:tcW w:w="1701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87,0</w:t>
            </w:r>
          </w:p>
        </w:tc>
        <w:tc>
          <w:tcPr>
            <w:tcW w:w="1275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87,0</w:t>
            </w:r>
          </w:p>
        </w:tc>
        <w:tc>
          <w:tcPr>
            <w:tcW w:w="1418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87,0</w:t>
            </w:r>
          </w:p>
        </w:tc>
        <w:tc>
          <w:tcPr>
            <w:tcW w:w="1559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87,0</w:t>
            </w:r>
          </w:p>
        </w:tc>
        <w:tc>
          <w:tcPr>
            <w:tcW w:w="1701" w:type="dxa"/>
            <w:hideMark/>
          </w:tcPr>
          <w:p w:rsidR="00AB7AD1" w:rsidRPr="00AB7AD1" w:rsidRDefault="00F10688" w:rsidP="00AB7AD1">
            <w:pPr>
              <w:pStyle w:val="ConsPlusNormal"/>
              <w:jc w:val="center"/>
            </w:pPr>
            <w:r w:rsidRPr="00EA08A3">
              <w:rPr>
                <w:u w:val="single"/>
                <w:lang w:val="en-US"/>
              </w:rPr>
              <w:t>&gt;</w:t>
            </w:r>
            <w:r>
              <w:t xml:space="preserve"> 87,0</w:t>
            </w:r>
          </w:p>
        </w:tc>
      </w:tr>
      <w:tr w:rsidR="00AB7AD1" w:rsidRPr="00AB7AD1" w:rsidTr="00F10688">
        <w:trPr>
          <w:trHeight w:val="1416"/>
        </w:trPr>
        <w:tc>
          <w:tcPr>
            <w:tcW w:w="426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 </w:t>
            </w:r>
          </w:p>
        </w:tc>
        <w:tc>
          <w:tcPr>
            <w:tcW w:w="2835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 xml:space="preserve">Налоговые и неналоговые доходы консолидированного </w:t>
            </w:r>
            <w:proofErr w:type="gramStart"/>
            <w:r w:rsidRPr="00AB7AD1">
              <w:t>бюджета  района</w:t>
            </w:r>
            <w:proofErr w:type="gramEnd"/>
            <w:r w:rsidRPr="00AB7AD1">
              <w:t xml:space="preserve"> на душу населения</w:t>
            </w:r>
          </w:p>
        </w:tc>
        <w:tc>
          <w:tcPr>
            <w:tcW w:w="659" w:type="dxa"/>
            <w:hideMark/>
          </w:tcPr>
          <w:p w:rsidR="00AB7AD1" w:rsidRPr="00AB7AD1" w:rsidRDefault="00B24ACE" w:rsidP="00B24ACE">
            <w:pPr>
              <w:pStyle w:val="ConsPlusNormal"/>
              <w:jc w:val="center"/>
            </w:pPr>
            <w:r w:rsidRPr="00AB7AD1">
              <w:t>Т</w:t>
            </w:r>
            <w:r>
              <w:t>ыс.</w:t>
            </w:r>
            <w:r w:rsidR="00AB7AD1" w:rsidRPr="00AB7AD1">
              <w:t xml:space="preserve"> р</w:t>
            </w:r>
            <w:r>
              <w:t>уб</w:t>
            </w:r>
            <w:r w:rsidR="00AB7AD1" w:rsidRPr="00AB7AD1">
              <w:t>.</w:t>
            </w:r>
          </w:p>
        </w:tc>
        <w:tc>
          <w:tcPr>
            <w:tcW w:w="1042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</w:p>
        </w:tc>
        <w:tc>
          <w:tcPr>
            <w:tcW w:w="1391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10,6</w:t>
            </w:r>
          </w:p>
        </w:tc>
        <w:tc>
          <w:tcPr>
            <w:tcW w:w="1303" w:type="dxa"/>
            <w:hideMark/>
          </w:tcPr>
          <w:p w:rsidR="00AB7AD1" w:rsidRPr="00AB7AD1" w:rsidRDefault="00764A4E" w:rsidP="00586581">
            <w:pPr>
              <w:pStyle w:val="ConsPlusNormal"/>
              <w:jc w:val="center"/>
            </w:pPr>
            <w:r>
              <w:t>1</w:t>
            </w:r>
            <w:r w:rsidR="00586581">
              <w:t>5,5</w:t>
            </w:r>
          </w:p>
        </w:tc>
        <w:tc>
          <w:tcPr>
            <w:tcW w:w="1701" w:type="dxa"/>
            <w:hideMark/>
          </w:tcPr>
          <w:p w:rsidR="00AB7AD1" w:rsidRPr="00AB7AD1" w:rsidRDefault="00764A4E" w:rsidP="00586581">
            <w:pPr>
              <w:pStyle w:val="ConsPlusNormal"/>
              <w:jc w:val="center"/>
            </w:pPr>
            <w:r>
              <w:t>16</w:t>
            </w:r>
            <w:r w:rsidR="00586581">
              <w:t>,4</w:t>
            </w:r>
          </w:p>
        </w:tc>
        <w:tc>
          <w:tcPr>
            <w:tcW w:w="1275" w:type="dxa"/>
            <w:hideMark/>
          </w:tcPr>
          <w:p w:rsidR="00AB7AD1" w:rsidRPr="00AB7AD1" w:rsidRDefault="00764A4E" w:rsidP="00586581">
            <w:pPr>
              <w:pStyle w:val="ConsPlusNormal"/>
              <w:jc w:val="center"/>
            </w:pPr>
            <w:r>
              <w:t>1</w:t>
            </w:r>
            <w:r w:rsidR="00586581">
              <w:t>6</w:t>
            </w:r>
            <w:r>
              <w:t>,</w:t>
            </w:r>
            <w:r w:rsidR="00586581">
              <w:t>9</w:t>
            </w:r>
          </w:p>
        </w:tc>
        <w:tc>
          <w:tcPr>
            <w:tcW w:w="1418" w:type="dxa"/>
            <w:hideMark/>
          </w:tcPr>
          <w:p w:rsidR="00AB7AD1" w:rsidRPr="00AB7AD1" w:rsidRDefault="00764A4E" w:rsidP="00586581">
            <w:pPr>
              <w:pStyle w:val="ConsPlusNormal"/>
              <w:jc w:val="center"/>
            </w:pPr>
            <w:r>
              <w:t>1</w:t>
            </w:r>
            <w:r w:rsidR="00586581">
              <w:t>7,</w:t>
            </w:r>
            <w:r>
              <w:t>4</w:t>
            </w:r>
          </w:p>
        </w:tc>
        <w:tc>
          <w:tcPr>
            <w:tcW w:w="1559" w:type="dxa"/>
            <w:hideMark/>
          </w:tcPr>
          <w:p w:rsidR="00AB7AD1" w:rsidRPr="00AB7AD1" w:rsidRDefault="00764A4E" w:rsidP="00586581">
            <w:pPr>
              <w:pStyle w:val="ConsPlusNormal"/>
              <w:jc w:val="center"/>
            </w:pPr>
            <w:r>
              <w:t>1</w:t>
            </w:r>
            <w:r w:rsidR="00586581">
              <w:t>7,9</w:t>
            </w:r>
          </w:p>
        </w:tc>
        <w:tc>
          <w:tcPr>
            <w:tcW w:w="1701" w:type="dxa"/>
            <w:hideMark/>
          </w:tcPr>
          <w:p w:rsidR="00AB7AD1" w:rsidRPr="00AB7AD1" w:rsidRDefault="00764A4E" w:rsidP="00586581">
            <w:pPr>
              <w:pStyle w:val="ConsPlusNormal"/>
              <w:jc w:val="center"/>
            </w:pPr>
            <w:r>
              <w:t>1</w:t>
            </w:r>
            <w:r w:rsidR="00586581">
              <w:t>8</w:t>
            </w:r>
            <w:r>
              <w:t>,5</w:t>
            </w:r>
          </w:p>
        </w:tc>
      </w:tr>
      <w:tr w:rsidR="00AB7AD1" w:rsidRPr="00AB7AD1" w:rsidTr="00F10688">
        <w:trPr>
          <w:trHeight w:val="315"/>
        </w:trPr>
        <w:tc>
          <w:tcPr>
            <w:tcW w:w="15310" w:type="dxa"/>
            <w:gridSpan w:val="13"/>
            <w:hideMark/>
          </w:tcPr>
          <w:p w:rsidR="00AB7AD1" w:rsidRPr="00FF6852" w:rsidRDefault="00AB7AD1" w:rsidP="00AB7AD1">
            <w:pPr>
              <w:pStyle w:val="ConsPlusNormal"/>
              <w:jc w:val="both"/>
              <w:rPr>
                <w:b/>
                <w:bCs/>
              </w:rPr>
            </w:pPr>
            <w:r w:rsidRPr="00FF6852">
              <w:rPr>
                <w:b/>
                <w:bCs/>
              </w:rPr>
              <w:t>Задача 4. Совершенствование финансового контроля и снижение просроченной кредиторской задолженности</w:t>
            </w:r>
          </w:p>
        </w:tc>
      </w:tr>
      <w:tr w:rsidR="00AB7AD1" w:rsidRPr="00AB7AD1" w:rsidTr="00F10688">
        <w:trPr>
          <w:trHeight w:val="3340"/>
        </w:trPr>
        <w:tc>
          <w:tcPr>
            <w:tcW w:w="426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lastRenderedPageBreak/>
              <w:t> </w:t>
            </w:r>
          </w:p>
        </w:tc>
        <w:tc>
          <w:tcPr>
            <w:tcW w:w="2835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Отсутствие просроченной кредиторской задолженности главных распорядителей средств бюджета муниципального района на 1-е число месяца, следующего за отчётным кварталом</w:t>
            </w:r>
          </w:p>
        </w:tc>
        <w:tc>
          <w:tcPr>
            <w:tcW w:w="6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Да/нет</w:t>
            </w:r>
          </w:p>
        </w:tc>
        <w:tc>
          <w:tcPr>
            <w:tcW w:w="1042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391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303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701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275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418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5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701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</w:tr>
      <w:tr w:rsidR="00AB7AD1" w:rsidRPr="00AB7AD1" w:rsidTr="00AD402F">
        <w:trPr>
          <w:trHeight w:val="2692"/>
        </w:trPr>
        <w:tc>
          <w:tcPr>
            <w:tcW w:w="426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 </w:t>
            </w:r>
          </w:p>
        </w:tc>
        <w:tc>
          <w:tcPr>
            <w:tcW w:w="2835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 xml:space="preserve">Отсутствие просроченной кредиторской задолженности по выплате заработной платы работников учреждений, финансируемых из консолидированного </w:t>
            </w:r>
            <w:proofErr w:type="gramStart"/>
            <w:r w:rsidRPr="00AB7AD1">
              <w:t>бюджета  муниципального</w:t>
            </w:r>
            <w:proofErr w:type="gramEnd"/>
            <w:r w:rsidRPr="00AB7AD1">
              <w:t xml:space="preserve"> района</w:t>
            </w:r>
          </w:p>
        </w:tc>
        <w:tc>
          <w:tcPr>
            <w:tcW w:w="6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Да/нет</w:t>
            </w:r>
          </w:p>
        </w:tc>
        <w:tc>
          <w:tcPr>
            <w:tcW w:w="1042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391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303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701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275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418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5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  <w:tc>
          <w:tcPr>
            <w:tcW w:w="1701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Да</w:t>
            </w:r>
          </w:p>
        </w:tc>
      </w:tr>
      <w:tr w:rsidR="00AB7AD1" w:rsidRPr="00AB7AD1" w:rsidTr="00F10688">
        <w:trPr>
          <w:trHeight w:val="315"/>
        </w:trPr>
        <w:tc>
          <w:tcPr>
            <w:tcW w:w="15310" w:type="dxa"/>
            <w:gridSpan w:val="13"/>
            <w:hideMark/>
          </w:tcPr>
          <w:p w:rsidR="00AB7AD1" w:rsidRPr="00FF6852" w:rsidRDefault="00AB7AD1" w:rsidP="00AB7AD1">
            <w:pPr>
              <w:pStyle w:val="ConsPlusNormal"/>
              <w:jc w:val="both"/>
              <w:rPr>
                <w:b/>
                <w:bCs/>
              </w:rPr>
            </w:pPr>
            <w:r w:rsidRPr="00FF6852">
              <w:rPr>
                <w:b/>
                <w:bCs/>
              </w:rPr>
              <w:t>Задача 5. Повышение квалификации муниципальных служащих финансов отдела администрации района</w:t>
            </w:r>
          </w:p>
        </w:tc>
      </w:tr>
      <w:tr w:rsidR="00AB7AD1" w:rsidRPr="00AB7AD1" w:rsidTr="00AD402F">
        <w:trPr>
          <w:trHeight w:val="2776"/>
        </w:trPr>
        <w:tc>
          <w:tcPr>
            <w:tcW w:w="426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 </w:t>
            </w:r>
          </w:p>
        </w:tc>
        <w:tc>
          <w:tcPr>
            <w:tcW w:w="2835" w:type="dxa"/>
            <w:hideMark/>
          </w:tcPr>
          <w:p w:rsidR="00AB7AD1" w:rsidRPr="00AB7AD1" w:rsidRDefault="00AB7AD1" w:rsidP="00AB7AD1">
            <w:pPr>
              <w:pStyle w:val="ConsPlusNormal"/>
              <w:jc w:val="both"/>
            </w:pPr>
            <w:r w:rsidRPr="00AB7AD1">
              <w:t>Количество муниципальных служащих финансового отдела администрации района, прошедших обучение по программам повышения квалификации и участвовавших в учебных семинарах</w:t>
            </w:r>
          </w:p>
        </w:tc>
        <w:tc>
          <w:tcPr>
            <w:tcW w:w="6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чел.</w:t>
            </w:r>
          </w:p>
        </w:tc>
        <w:tc>
          <w:tcPr>
            <w:tcW w:w="1042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5</w:t>
            </w:r>
          </w:p>
        </w:tc>
        <w:tc>
          <w:tcPr>
            <w:tcW w:w="1391" w:type="dxa"/>
            <w:gridSpan w:val="2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2</w:t>
            </w:r>
          </w:p>
        </w:tc>
        <w:tc>
          <w:tcPr>
            <w:tcW w:w="1303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</w:t>
            </w:r>
          </w:p>
        </w:tc>
        <w:tc>
          <w:tcPr>
            <w:tcW w:w="1701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</w:t>
            </w:r>
          </w:p>
        </w:tc>
        <w:tc>
          <w:tcPr>
            <w:tcW w:w="1275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</w:t>
            </w:r>
          </w:p>
        </w:tc>
        <w:tc>
          <w:tcPr>
            <w:tcW w:w="1418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</w:t>
            </w:r>
          </w:p>
        </w:tc>
        <w:tc>
          <w:tcPr>
            <w:tcW w:w="1559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</w:t>
            </w:r>
          </w:p>
        </w:tc>
        <w:tc>
          <w:tcPr>
            <w:tcW w:w="1701" w:type="dxa"/>
            <w:hideMark/>
          </w:tcPr>
          <w:p w:rsidR="00AB7AD1" w:rsidRPr="00AB7AD1" w:rsidRDefault="00AB7AD1" w:rsidP="00AB7AD1">
            <w:pPr>
              <w:pStyle w:val="ConsPlusNormal"/>
              <w:jc w:val="center"/>
            </w:pPr>
            <w:r w:rsidRPr="00AB7AD1">
              <w:t>1</w:t>
            </w:r>
          </w:p>
        </w:tc>
      </w:tr>
    </w:tbl>
    <w:p w:rsidR="00FB1672" w:rsidRDefault="00FB1672">
      <w:pPr>
        <w:pStyle w:val="ConsPlusNormal"/>
        <w:jc w:val="both"/>
      </w:pPr>
    </w:p>
    <w:p w:rsidR="00AB7AD1" w:rsidRDefault="00AB7AD1">
      <w:pPr>
        <w:pStyle w:val="ConsPlusTitle"/>
        <w:jc w:val="center"/>
        <w:outlineLvl w:val="3"/>
      </w:pPr>
    </w:p>
    <w:p w:rsidR="00AB7AD1" w:rsidRDefault="00AB7AD1">
      <w:pPr>
        <w:pStyle w:val="ConsPlusTitle"/>
        <w:jc w:val="center"/>
        <w:outlineLvl w:val="3"/>
      </w:pPr>
    </w:p>
    <w:p w:rsidR="008917D3" w:rsidRDefault="008917D3">
      <w:pPr>
        <w:pStyle w:val="ConsPlusTitle"/>
        <w:jc w:val="center"/>
        <w:outlineLvl w:val="3"/>
      </w:pPr>
    </w:p>
    <w:p w:rsidR="00FB1672" w:rsidRDefault="00FB1672">
      <w:pPr>
        <w:pStyle w:val="ConsPlusTitle"/>
        <w:jc w:val="center"/>
        <w:outlineLvl w:val="3"/>
      </w:pPr>
      <w:r>
        <w:t>Основные ожидаемые конечные результаты муниципальной</w:t>
      </w:r>
    </w:p>
    <w:p w:rsidR="00FB1672" w:rsidRDefault="00FB1672">
      <w:pPr>
        <w:pStyle w:val="ConsPlusTitle"/>
        <w:jc w:val="center"/>
      </w:pPr>
      <w:r>
        <w:t>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lastRenderedPageBreak/>
        <w:t>Основными ожидаемыми результатами реализации муниципальной программы являются: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- повышение качества организации бюджетного процесса </w:t>
      </w:r>
      <w:r w:rsidR="007A17F0">
        <w:t>Мещовского</w:t>
      </w:r>
      <w:r>
        <w:t xml:space="preserve"> района на всех стадиях, обеспечение прозрачности и доступности для населения района информации по вопросам формирования и исполнения районного бюджета;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- обеспечение долгосрочной сбалансированности и устойчивости бюджетной системы </w:t>
      </w:r>
      <w:r w:rsidR="007A17F0">
        <w:t>Мещовского</w:t>
      </w:r>
      <w:r>
        <w:t xml:space="preserve"> района;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повышение эффективности управления муниципальным долгом, поддержание объема муниципального долга в пределах ограничений, установленных действующим законодательством;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повышение профессионализма муниципальных служащих отдела финансов и других работников бюджетных отраслей, занятых в сфере управления общественными финансами.</w:t>
      </w:r>
    </w:p>
    <w:p w:rsidR="00AD402F" w:rsidRDefault="00AD402F">
      <w:pPr>
        <w:pStyle w:val="ConsPlusNormal"/>
        <w:spacing w:before="220"/>
        <w:ind w:firstLine="540"/>
        <w:jc w:val="both"/>
      </w:pP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3"/>
      </w:pPr>
      <w:r>
        <w:t>Срок и этапы реализации муниципальной 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>Муниципальная программа реализуется в 20</w:t>
      </w:r>
      <w:r w:rsidR="007A17F0">
        <w:t>24</w:t>
      </w:r>
      <w:r>
        <w:t xml:space="preserve"> - 202</w:t>
      </w:r>
      <w:r w:rsidR="007A17F0">
        <w:t>9</w:t>
      </w:r>
      <w:r>
        <w:t xml:space="preserve"> годах. Мероприятия муниципальной программы являются переходящими на очередной финансовый год в течение всего срока ее реализации.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Этапы реализации муниципальной программы предусматривают: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муниципальной программы;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б) определение операций, направленных на выполнение мероприятий программы, и распределение их между структурными подразделениями и исполнителями муниципальной программы;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в) оперативное принятие решений, обеспечение согласованности взаимодействия всех структурных подразделений и исполнителей при реализации муниципальной программы;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г) учет, контроль и анализ реализации муниципальной программы.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1"/>
      </w:pPr>
      <w:r>
        <w:t>Раздел III. ОБОБЩЕННАЯ ХАРАКТЕРИСТИКА ОСНОВНЫХ МЕРОПРИЯТИЙ</w:t>
      </w:r>
    </w:p>
    <w:p w:rsidR="00FB1672" w:rsidRDefault="00FB1672">
      <w:pPr>
        <w:pStyle w:val="ConsPlusTitle"/>
        <w:jc w:val="center"/>
      </w:pPr>
      <w:r>
        <w:t>МУНИЦИПАЛЬНОЙ 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>Для достижения поставленных задач предполагается реализовать следующие основные мероприятия: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1. Обеспечение функционирования бюджетного процесса </w:t>
      </w:r>
      <w:proofErr w:type="gramStart"/>
      <w:r>
        <w:t>в  районе</w:t>
      </w:r>
      <w:proofErr w:type="gramEnd"/>
      <w:r>
        <w:t>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В рамках данного основного мероприятия предполагается реализация мероприятий, направленных на обеспечение бесперебойного бюджетного процесса на всех его стадиях, а также на осуществление межбюджетных отношений.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 xml:space="preserve">Реализация мероприятий позволит обеспечивать своевременное, непрерывное функционирование бюджетной системы </w:t>
      </w:r>
      <w:r w:rsidR="001E5D84">
        <w:t>муниципального района</w:t>
      </w:r>
      <w:r>
        <w:t xml:space="preserve">, </w:t>
      </w:r>
      <w:r>
        <w:lastRenderedPageBreak/>
        <w:t>осуществление контроля за соблюдением бюджетного законодательства, обеспечить выравнивание финансовых возможностей муниципальных образований</w:t>
      </w:r>
      <w:r w:rsidR="00BC0AF7">
        <w:t xml:space="preserve"> </w:t>
      </w:r>
      <w:r>
        <w:t>района.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2. Управление муниципальным долгом.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В рамках данного основного мероприятия предполагается реализация мероприятий, направленных на оптимизацию структуры и объема муниципального долга, выполнение долговых обязательств, своевременное финансирование расходов на обслуживание муниципального долга. В рамках реализации данных мероприятий предполагается при наличии возможности отдавать предпочтение привлечению бюджетных кредитов, процентная ставка по которым значительно ниже, чем по кредитным ресурсам, привлекаемым в кредитных организациях. Необходимо также осуществлять мониторинг ставки рефинансирования ЦБ с целью привлечения кредитных ресурсов в кредитных организациях с более низкой ставкой для погашения существующих обязательств по муниципальным долгам, ставка по которым значительно выше. Реализация указанных мероприятий позволит снизить расходы на обслуживание муниципального долга.</w:t>
      </w:r>
    </w:p>
    <w:p w:rsidR="00AD402F" w:rsidRDefault="00AD402F">
      <w:pPr>
        <w:pStyle w:val="ConsPlusNormal"/>
        <w:spacing w:before="220"/>
        <w:ind w:firstLine="540"/>
        <w:jc w:val="both"/>
      </w:pPr>
    </w:p>
    <w:p w:rsidR="00FB1672" w:rsidRDefault="00FB1672">
      <w:pPr>
        <w:pStyle w:val="ConsPlusNormal"/>
        <w:spacing w:before="220"/>
        <w:ind w:firstLine="540"/>
        <w:jc w:val="both"/>
      </w:pPr>
      <w:r>
        <w:t>Своевременное выполнение долговых обязательств и финансирование расходов на обслуживание муниципального долга позволит сформировать и поддерживать на должном уровне положительную кредитную историю районного бюджета в кредитных организациях банковской сферы РФ.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3. Реализация мероприятий, направленных на развитие доходного потенциала Кировского района.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В рамках данного основного мероприятия предполагается реализация мероприятий, направленных на: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содействие привлечению и своевременному освоению поступивших в бюджет Кировского района средств федерального и областного бюджетов;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повышение уровня взаимодействия органов местного самоуправления с территориальными органами областных и федеральных органов исполнительной власти, правоохранительными органами по контролю за выплатой заработной платы, противодействию уклонению от уплаты налогов;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проведение мероприятий по мобилизации доходов, в том числе по постановке на налоговый учет объектов недвижимого имущества для привлечения их к налогообложению;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активизацию работы по собираемости неналоговых доходов в части усиления претензионной работы по взысканию задолженности</w:t>
      </w:r>
      <w:r w:rsidR="00B010C6">
        <w:t>,</w:t>
      </w:r>
      <w:r>
        <w:t xml:space="preserve"> а также недопущения возникновения задолженности по текущим платежам.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Реализация указанных мероприятий позволит обеспечить сохранение и увеличение доходного потенциала Кировского района, а также снижение недоимки по обязательным платежам в бюджетную систему.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4. Реализация мероприятий в сфере финансового контроля, а также контроля за состоянием кредиторской задолженности.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В рамках данного основного мероприятия предполагается реализация мероприятий, направленных на повышение эффективности финансово-контрольной деятельности на местном уровне, недопущение возникновения кредиторской задолженности местных бюджетов, текущий мониторинг ее состояния, контроль за своевременным ее погашением.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5. Участие в мероприятиях, способствующих повышению квалификации работников общественных финансов.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lastRenderedPageBreak/>
        <w:t>В рамках данного основного мероприятия предполагается реализация мероприятий, направленных на участие работников финансов</w:t>
      </w:r>
      <w:r w:rsidR="00FD0AA2">
        <w:t>ого отдела</w:t>
      </w:r>
      <w:r>
        <w:t xml:space="preserve"> администрации</w:t>
      </w:r>
      <w:r w:rsidR="00FD0AA2">
        <w:t xml:space="preserve"> муниципального района</w:t>
      </w:r>
      <w:r>
        <w:t>, муниципальных служащих, сотрудников бюджетных учреждений муниципального района в программах повышения квалификации.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Реализация указанных мероприятий позволит повысить уровень знаний работников общественных финансов, своевременно узнавать о последних изменениях в действующем бюджетном и финансовом законодательстве и применять полученные знания на практике.</w:t>
      </w:r>
    </w:p>
    <w:p w:rsidR="00FB1672" w:rsidRDefault="00FB1672">
      <w:pPr>
        <w:pStyle w:val="ConsPlusNormal"/>
        <w:jc w:val="both"/>
      </w:pPr>
    </w:p>
    <w:p w:rsidR="00460904" w:rsidRDefault="00460904">
      <w:pPr>
        <w:pStyle w:val="ConsPlusTitle"/>
        <w:jc w:val="center"/>
        <w:outlineLvl w:val="1"/>
      </w:pPr>
    </w:p>
    <w:p w:rsidR="00FB1672" w:rsidRDefault="00FB1672">
      <w:pPr>
        <w:pStyle w:val="ConsPlusTitle"/>
        <w:jc w:val="center"/>
        <w:outlineLvl w:val="1"/>
      </w:pPr>
      <w:r>
        <w:t>Раздел IV. ОБЪЕМ ФИНАНСОВЫХ РЕСУРСОВ, НЕОБХОДИМЫХ</w:t>
      </w:r>
    </w:p>
    <w:p w:rsidR="00FB1672" w:rsidRDefault="00FB1672">
      <w:pPr>
        <w:pStyle w:val="ConsPlusTitle"/>
        <w:jc w:val="center"/>
      </w:pPr>
      <w:r>
        <w:t>ДЛЯ РЕАЛИЗАЦИИ МУНИЦИПАЛЬНОЙ ПРОГРАММЫ</w:t>
      </w:r>
    </w:p>
    <w:p w:rsidR="00FB1672" w:rsidRDefault="00FB1672">
      <w:pPr>
        <w:pStyle w:val="ConsPlusNormal"/>
        <w:jc w:val="both"/>
      </w:pPr>
    </w:p>
    <w:p w:rsidR="00BA7AFF" w:rsidRDefault="00FB1672" w:rsidP="005F042D">
      <w:pPr>
        <w:pStyle w:val="ConsPlusNormal"/>
        <w:ind w:firstLine="540"/>
        <w:jc w:val="both"/>
      </w:pPr>
      <w:r>
        <w:t>Финансирование муниципальной программы осуществляется за счет средств районного бюджета. Объем финансирования по направлениям муниципальной программы рассчитывается в соответствии с действующим законодательством и составляет</w:t>
      </w:r>
      <w:r w:rsidR="00BA7AFF">
        <w:t xml:space="preserve"> </w:t>
      </w:r>
      <w:r w:rsidR="005F042D">
        <w:t>в сумме 49 392,981</w:t>
      </w:r>
      <w:r>
        <w:t xml:space="preserve"> рубл</w:t>
      </w:r>
      <w:r w:rsidR="005F042D">
        <w:t>ь.</w:t>
      </w:r>
    </w:p>
    <w:p w:rsidR="00AD402F" w:rsidRDefault="00AD402F" w:rsidP="005F042D">
      <w:pPr>
        <w:pStyle w:val="ConsPlusNormal"/>
        <w:ind w:firstLine="540"/>
        <w:jc w:val="both"/>
      </w:pP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1"/>
      </w:pPr>
      <w:r>
        <w:t>Раздел VI. МЕХАНИЗМ РЕАЛИЗАЦИИ МУНИЦИПАЛЬНОЙ ПРОГРАММЫ</w:t>
      </w: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Normal"/>
        <w:ind w:firstLine="540"/>
        <w:jc w:val="both"/>
      </w:pPr>
      <w:r>
        <w:t>Механизм реализации муниципальной программы представляет собой скоординированные по срокам и направлениям действия отдела финансов Кировской районной администрации, ведущие к достижению намеченных целей.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Отдел финансов в целях достижения показателей результатов и реализации мероприятий муниципальной программы: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обеспечивает разработку нормативных правовых актов, необходимых для реализации мероприятий муниципальной программы;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распределяет работу по реализации муниципальной программы в структурных подразделениях и обеспечивает взаимодействие с заинтересованными отделами Кировской районной администрации по вопросам реализации муниципальной программы;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обеспечивает формирование и представление необходимой документации для осуществления финансирования за счет средств районного бюджета;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- проводит при необходимости рабочие совещания по решению тактических задач и текущему выполнению мероприятий.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В течение всего периода реализации муниципальной программы расходы на ее реализацию подлежат корректировке в соответствии с решением Районно</w:t>
      </w:r>
      <w:r w:rsidR="00FD0AA2">
        <w:t>го Собрания муниципального района «Мещовский район»</w:t>
      </w:r>
      <w:r>
        <w:t xml:space="preserve"> о бюджете муниципального района на очередной год и плановый период.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Общее руководство и контроль за ходом реализации муниципальной программы осуществляет заведующий финансов</w:t>
      </w:r>
      <w:r w:rsidR="00FD0AA2">
        <w:t>ым отделом</w:t>
      </w:r>
      <w:r>
        <w:t xml:space="preserve"> администрации</w:t>
      </w:r>
      <w:r w:rsidR="00FD0AA2">
        <w:t xml:space="preserve"> муниципального района.</w:t>
      </w:r>
    </w:p>
    <w:p w:rsidR="00FB1672" w:rsidRDefault="00FB1672">
      <w:pPr>
        <w:pStyle w:val="ConsPlusNormal"/>
        <w:spacing w:before="220"/>
        <w:ind w:firstLine="540"/>
        <w:jc w:val="both"/>
      </w:pPr>
      <w:r>
        <w:t>Ответственными исполнителями мероприятий муниципальной программы являются финансов</w:t>
      </w:r>
      <w:r w:rsidR="00FD0AA2">
        <w:t>ый отдел администрации муниципального района</w:t>
      </w:r>
      <w:r>
        <w:t>.</w:t>
      </w:r>
    </w:p>
    <w:p w:rsidR="00590725" w:rsidRDefault="00590725">
      <w:pPr>
        <w:pStyle w:val="ConsPlusNormal"/>
        <w:spacing w:before="220"/>
        <w:ind w:firstLine="540"/>
        <w:jc w:val="both"/>
      </w:pPr>
    </w:p>
    <w:p w:rsidR="00FB1672" w:rsidRDefault="00FB1672">
      <w:pPr>
        <w:pStyle w:val="ConsPlusNormal"/>
        <w:jc w:val="both"/>
      </w:pPr>
    </w:p>
    <w:p w:rsidR="00FB1672" w:rsidRDefault="00FB1672">
      <w:pPr>
        <w:pStyle w:val="ConsPlusTitle"/>
        <w:jc w:val="center"/>
        <w:outlineLvl w:val="1"/>
      </w:pPr>
      <w:r>
        <w:t>Раздел VII. ПЕРЕЧЕНЬ ПРОГРАММНЫХ МЕРОПРИЯТИЙ МУНИЦИПАЛЬНОЙ</w:t>
      </w:r>
      <w:r w:rsidR="00590725">
        <w:t xml:space="preserve"> ПРОГРАММЫ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1984"/>
        <w:gridCol w:w="1276"/>
        <w:gridCol w:w="1418"/>
        <w:gridCol w:w="1417"/>
        <w:gridCol w:w="1418"/>
        <w:gridCol w:w="1275"/>
        <w:gridCol w:w="1276"/>
      </w:tblGrid>
      <w:tr w:rsidR="00590725" w:rsidTr="00590725">
        <w:trPr>
          <w:gridAfter w:val="6"/>
          <w:wAfter w:w="8080" w:type="dxa"/>
          <w:trHeight w:val="269"/>
        </w:trPr>
        <w:tc>
          <w:tcPr>
            <w:tcW w:w="6866" w:type="dxa"/>
            <w:gridSpan w:val="2"/>
            <w:tcBorders>
              <w:top w:val="nil"/>
              <w:left w:val="nil"/>
              <w:right w:val="nil"/>
            </w:tcBorders>
          </w:tcPr>
          <w:p w:rsidR="00590725" w:rsidRPr="00590725" w:rsidRDefault="00590725" w:rsidP="00590725">
            <w:pPr>
              <w:pStyle w:val="ConsPlus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                                         </w:t>
            </w:r>
          </w:p>
        </w:tc>
      </w:tr>
      <w:tr w:rsidR="00586581" w:rsidTr="00590725">
        <w:trPr>
          <w:trHeight w:val="20"/>
        </w:trPr>
        <w:tc>
          <w:tcPr>
            <w:tcW w:w="4882" w:type="dxa"/>
            <w:vMerge w:val="restart"/>
          </w:tcPr>
          <w:p w:rsidR="00586581" w:rsidRDefault="00590725" w:rsidP="00590725">
            <w:pPr>
              <w:pStyle w:val="ConsPlusNormal"/>
              <w:jc w:val="center"/>
            </w:pPr>
            <w:r>
              <w:t>Наименование мероприятий</w:t>
            </w:r>
          </w:p>
        </w:tc>
        <w:tc>
          <w:tcPr>
            <w:tcW w:w="1984" w:type="dxa"/>
            <w:vMerge w:val="restart"/>
          </w:tcPr>
          <w:p w:rsidR="00586581" w:rsidRDefault="00590725" w:rsidP="00590725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</w:p>
        </w:tc>
      </w:tr>
      <w:tr w:rsidR="00586581" w:rsidTr="00590725">
        <w:tc>
          <w:tcPr>
            <w:tcW w:w="4882" w:type="dxa"/>
            <w:vMerge/>
          </w:tcPr>
          <w:p w:rsidR="00586581" w:rsidRDefault="00586581">
            <w:pPr>
              <w:pStyle w:val="ConsPlusNormal"/>
            </w:pPr>
          </w:p>
        </w:tc>
        <w:tc>
          <w:tcPr>
            <w:tcW w:w="1984" w:type="dxa"/>
            <w:vMerge/>
          </w:tcPr>
          <w:p w:rsidR="00586581" w:rsidRDefault="00586581">
            <w:pPr>
              <w:pStyle w:val="ConsPlusNormal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2027 год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2028 год</w:t>
            </w:r>
          </w:p>
        </w:tc>
        <w:tc>
          <w:tcPr>
            <w:tcW w:w="1276" w:type="dxa"/>
          </w:tcPr>
          <w:p w:rsidR="00586581" w:rsidRDefault="00586581" w:rsidP="00BE7F65">
            <w:pPr>
              <w:pStyle w:val="ConsPlusNormal"/>
              <w:jc w:val="center"/>
            </w:pPr>
            <w:r>
              <w:t>2029 год</w:t>
            </w:r>
          </w:p>
        </w:tc>
      </w:tr>
      <w:tr w:rsidR="00586581" w:rsidTr="00590725">
        <w:tc>
          <w:tcPr>
            <w:tcW w:w="4882" w:type="dxa"/>
          </w:tcPr>
          <w:p w:rsidR="00586581" w:rsidRPr="00590725" w:rsidRDefault="00586581" w:rsidP="007B22CD">
            <w:pPr>
              <w:pStyle w:val="ConsPlusNormal"/>
              <w:rPr>
                <w:b/>
                <w:bCs/>
              </w:rPr>
            </w:pPr>
            <w:r w:rsidRPr="00590725">
              <w:rPr>
                <w:b/>
                <w:bCs/>
              </w:rPr>
              <w:t xml:space="preserve">Основное мероприятие. Обеспечение функционирования бюджетного процесса в муниципальном районе 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right"/>
            </w:pPr>
          </w:p>
        </w:tc>
      </w:tr>
      <w:tr w:rsidR="00586581" w:rsidTr="00590725">
        <w:tc>
          <w:tcPr>
            <w:tcW w:w="4882" w:type="dxa"/>
          </w:tcPr>
          <w:p w:rsidR="00586581" w:rsidRDefault="00586581" w:rsidP="007B22CD">
            <w:pPr>
              <w:pStyle w:val="ConsPlusNormal"/>
            </w:pPr>
            <w:r>
              <w:t>1. Обеспечение деятельности финансового отдела администрации МР «Мещовский район»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средства районного бюджета</w:t>
            </w:r>
          </w:p>
        </w:tc>
        <w:tc>
          <w:tcPr>
            <w:tcW w:w="1276" w:type="dxa"/>
          </w:tcPr>
          <w:p w:rsidR="00586581" w:rsidRDefault="00B010C6" w:rsidP="00AB7AD1">
            <w:pPr>
              <w:pStyle w:val="ConsPlusNormal"/>
              <w:ind w:left="-98"/>
              <w:jc w:val="right"/>
            </w:pPr>
            <w:r>
              <w:t>8007,902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right"/>
            </w:pPr>
            <w:r>
              <w:t>8</w:t>
            </w:r>
            <w:r w:rsidR="00B010C6">
              <w:t>079,863</w:t>
            </w:r>
          </w:p>
        </w:tc>
        <w:tc>
          <w:tcPr>
            <w:tcW w:w="1417" w:type="dxa"/>
          </w:tcPr>
          <w:p w:rsidR="00586581" w:rsidRDefault="00B010C6">
            <w:pPr>
              <w:pStyle w:val="ConsPlusNormal"/>
              <w:jc w:val="right"/>
            </w:pPr>
            <w:r>
              <w:t>8154,697</w:t>
            </w:r>
          </w:p>
        </w:tc>
        <w:tc>
          <w:tcPr>
            <w:tcW w:w="1418" w:type="dxa"/>
          </w:tcPr>
          <w:p w:rsidR="00586581" w:rsidRDefault="00B010C6">
            <w:pPr>
              <w:pStyle w:val="ConsPlusNormal"/>
              <w:jc w:val="right"/>
            </w:pPr>
            <w:r>
              <w:t>8389,740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right"/>
            </w:pPr>
            <w:r>
              <w:t>8389,740</w:t>
            </w:r>
          </w:p>
        </w:tc>
        <w:tc>
          <w:tcPr>
            <w:tcW w:w="1276" w:type="dxa"/>
          </w:tcPr>
          <w:p w:rsidR="00586581" w:rsidRDefault="00B010C6">
            <w:pPr>
              <w:pStyle w:val="ConsPlusNormal"/>
              <w:jc w:val="right"/>
            </w:pPr>
            <w:r>
              <w:t>8389,740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 w:rsidP="007B22CD">
            <w:pPr>
              <w:pStyle w:val="ConsPlusNormal"/>
            </w:pPr>
            <w:r>
              <w:t>2. Формирование проекта бюджета района в разрезе муниципальных программ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 w:rsidP="007B22CD">
            <w:pPr>
              <w:pStyle w:val="ConsPlusNormal"/>
            </w:pPr>
            <w:r>
              <w:t xml:space="preserve">3. Развитие автоматизированной системы управления бюджетным процессом - внедрение инновационных информационных технологий, обеспечивающих интеграцию этапов и оптимизацию процедур бюджетного процесса в районе 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 w:rsidP="00FA4020">
            <w:pPr>
              <w:pStyle w:val="ConsPlusNormal"/>
            </w:pPr>
            <w:r>
              <w:t>4. Проведение мониторинга соблюдения муниципальными образованиями района требований бюджетного законодательства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>
            <w:pPr>
              <w:pStyle w:val="ConsPlusNormal"/>
            </w:pPr>
            <w:r>
              <w:t>5. Участие в мероприятиях, посвященных вопросам совершенствования управления общественными финансами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 w:rsidP="00FA4020">
            <w:pPr>
              <w:pStyle w:val="ConsPlusNormal"/>
            </w:pPr>
            <w:r>
              <w:t>6. Финансовое обеспечение расходных обязательств муниципальных образований района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средства районного бюджета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</w:pPr>
          </w:p>
        </w:tc>
      </w:tr>
      <w:tr w:rsidR="00586581" w:rsidTr="00590725">
        <w:tc>
          <w:tcPr>
            <w:tcW w:w="4882" w:type="dxa"/>
          </w:tcPr>
          <w:p w:rsidR="00586581" w:rsidRPr="00590725" w:rsidRDefault="00586581">
            <w:pPr>
              <w:pStyle w:val="ConsPlusNormal"/>
              <w:rPr>
                <w:b/>
                <w:bCs/>
              </w:rPr>
            </w:pPr>
            <w:r w:rsidRPr="00590725">
              <w:rPr>
                <w:b/>
                <w:bCs/>
              </w:rPr>
              <w:t>Основное мероприятие. Управление муниципальным долгом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right"/>
            </w:pPr>
            <w:r>
              <w:t>0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>
            <w:pPr>
              <w:pStyle w:val="ConsPlusNormal"/>
            </w:pPr>
            <w:r>
              <w:t>1. Оптимизация структуры и объема муниципального долга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 w:rsidP="00FA4020">
            <w:pPr>
              <w:pStyle w:val="ConsPlusNormal"/>
            </w:pPr>
            <w:r>
              <w:t xml:space="preserve">2.Выполнение долговых обязательств, </w:t>
            </w:r>
            <w:r>
              <w:lastRenderedPageBreak/>
              <w:t xml:space="preserve">своевременное финансирование расходов на обслуживание муниципального долга 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lastRenderedPageBreak/>
              <w:t xml:space="preserve">средства </w:t>
            </w:r>
            <w:r>
              <w:lastRenderedPageBreak/>
              <w:t>районного бюджета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right"/>
            </w:pPr>
          </w:p>
        </w:tc>
        <w:tc>
          <w:tcPr>
            <w:tcW w:w="1418" w:type="dxa"/>
          </w:tcPr>
          <w:p w:rsidR="00586581" w:rsidRDefault="00586581">
            <w:pPr>
              <w:pStyle w:val="ConsPlusNormal"/>
            </w:pPr>
          </w:p>
        </w:tc>
        <w:tc>
          <w:tcPr>
            <w:tcW w:w="1275" w:type="dxa"/>
          </w:tcPr>
          <w:p w:rsidR="00586581" w:rsidRDefault="00586581">
            <w:pPr>
              <w:pStyle w:val="ConsPlusNormal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</w:pPr>
          </w:p>
        </w:tc>
      </w:tr>
      <w:tr w:rsidR="00586581" w:rsidTr="00590725">
        <w:tc>
          <w:tcPr>
            <w:tcW w:w="4882" w:type="dxa"/>
          </w:tcPr>
          <w:p w:rsidR="00586581" w:rsidRPr="00590725" w:rsidRDefault="00586581" w:rsidP="00191EC3">
            <w:pPr>
              <w:pStyle w:val="ConsPlusNormal"/>
              <w:rPr>
                <w:b/>
                <w:bCs/>
              </w:rPr>
            </w:pPr>
            <w:r w:rsidRPr="00590725">
              <w:rPr>
                <w:b/>
                <w:bCs/>
              </w:rPr>
              <w:t>Основное мероприятие. Реализация мероприятий, направленных на развитие доходного потенциала района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 w:rsidP="00191EC3">
            <w:pPr>
              <w:pStyle w:val="ConsPlusNormal"/>
            </w:pPr>
            <w:r>
              <w:t>1. Содействие привлечению и своевременному освоению поступивших в бюджет района средств областного бюджета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 w:rsidP="00FA4020">
            <w:pPr>
              <w:pStyle w:val="ConsPlusNormal"/>
            </w:pPr>
            <w:r>
              <w:t>2. Повышение уровня взаимодействия всех ветвей власти по контролю за выплатой заработной платы, противодействию уклонению от уплаты налогов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>
            <w:pPr>
              <w:pStyle w:val="ConsPlusNormal"/>
            </w:pPr>
            <w:r>
              <w:t>3. Проведение мероприятий по мобилизации доходов, в том числе по постановке на налоговый учет объектов недвижимого имущества для привлечения их к налогообложению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>
            <w:pPr>
              <w:pStyle w:val="ConsPlusNormal"/>
            </w:pPr>
            <w:r>
              <w:t>4. Активизация работы по собираемости неналоговых доходов в части усиления претензионной работы по взысканию задолженности, а также недопущения возникновения задолженности по текущим платежам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Pr="00590725" w:rsidRDefault="00586581">
            <w:pPr>
              <w:pStyle w:val="ConsPlusNormal"/>
              <w:rPr>
                <w:b/>
                <w:bCs/>
              </w:rPr>
            </w:pPr>
            <w:r w:rsidRPr="00590725">
              <w:rPr>
                <w:b/>
                <w:bCs/>
              </w:rPr>
              <w:t>Основное мероприятие. Реализация мероприятий в сфере финансового контроля, а также контроля за состоянием кредиторской задолженности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rPr>
          <w:trHeight w:val="550"/>
        </w:trPr>
        <w:tc>
          <w:tcPr>
            <w:tcW w:w="4882" w:type="dxa"/>
          </w:tcPr>
          <w:p w:rsidR="00586581" w:rsidRDefault="00586581">
            <w:pPr>
              <w:pStyle w:val="ConsPlusNormal"/>
            </w:pPr>
            <w:r>
              <w:t>1. Повышение эффективности финансово-контрольной деятельности на местном уровне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средства районного бюджета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 w:rsidP="00FA4020">
            <w:pPr>
              <w:pStyle w:val="ConsPlusNormal"/>
            </w:pPr>
            <w:r>
              <w:t>2. Мониторинг задолженности консолидированного бюджета района по оплате труда, начислениям на выплаты по оплате труда и платежам за коммунальные услуги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>
            <w:pPr>
              <w:pStyle w:val="ConsPlusNormal"/>
            </w:pPr>
            <w:r>
              <w:lastRenderedPageBreak/>
              <w:t>3. Мониторинг кредиторской задолженности главных распорядителей средств бюджета района и контроль за своевременным ее погашением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Pr="00590725" w:rsidRDefault="00586581" w:rsidP="00EA2F24">
            <w:pPr>
              <w:pStyle w:val="ConsPlusNormal"/>
              <w:rPr>
                <w:b/>
                <w:bCs/>
              </w:rPr>
            </w:pPr>
            <w:r w:rsidRPr="00590725">
              <w:rPr>
                <w:b/>
                <w:bCs/>
              </w:rPr>
              <w:t>Основное мероприятие. Участие в мероприятиях, способствующих повышению квалификации работников финансового отдела администрации района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 w:rsidP="00EA2F24">
            <w:pPr>
              <w:pStyle w:val="ConsPlusNormal"/>
            </w:pPr>
            <w:r>
              <w:t>Мероприятие 5.1.</w:t>
            </w:r>
          </w:p>
          <w:p w:rsidR="00586581" w:rsidRDefault="00586581" w:rsidP="00EA2F24">
            <w:pPr>
              <w:pStyle w:val="ConsPlusNormal"/>
            </w:pPr>
            <w:r>
              <w:t xml:space="preserve"> Участие в программах повышения квалификации муниципальных служащих   финансового отдела администрации района 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586581" w:rsidTr="00590725">
        <w:tc>
          <w:tcPr>
            <w:tcW w:w="4882" w:type="dxa"/>
          </w:tcPr>
          <w:p w:rsidR="00586581" w:rsidRDefault="00586581">
            <w:pPr>
              <w:pStyle w:val="ConsPlusNormal"/>
            </w:pPr>
            <w:r>
              <w:t xml:space="preserve">Мероприятие 5.1. </w:t>
            </w:r>
          </w:p>
          <w:p w:rsidR="00586581" w:rsidRDefault="00586581" w:rsidP="00EA2F24">
            <w:pPr>
              <w:pStyle w:val="ConsPlusNormal"/>
            </w:pPr>
            <w:proofErr w:type="gramStart"/>
            <w:r>
              <w:t>Проведение  семинаров</w:t>
            </w:r>
            <w:proofErr w:type="gramEnd"/>
            <w:r>
              <w:t xml:space="preserve"> с участием сотрудников бухгалтерских служб и других  специалистов муниципальных учреждений район</w:t>
            </w:r>
          </w:p>
        </w:tc>
        <w:tc>
          <w:tcPr>
            <w:tcW w:w="1984" w:type="dxa"/>
          </w:tcPr>
          <w:p w:rsidR="00586581" w:rsidRDefault="00586581">
            <w:pPr>
              <w:pStyle w:val="ConsPlusNormal"/>
            </w:pPr>
            <w:r>
              <w:t>не требует финансирования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586581" w:rsidRDefault="00586581">
            <w:pPr>
              <w:pStyle w:val="ConsPlusNormal"/>
              <w:jc w:val="center"/>
            </w:pPr>
            <w:r>
              <w:t>X</w:t>
            </w:r>
          </w:p>
        </w:tc>
      </w:tr>
      <w:tr w:rsidR="008917D3" w:rsidTr="00590725">
        <w:trPr>
          <w:trHeight w:val="471"/>
        </w:trPr>
        <w:tc>
          <w:tcPr>
            <w:tcW w:w="4882" w:type="dxa"/>
          </w:tcPr>
          <w:p w:rsidR="008917D3" w:rsidRPr="00FF6852" w:rsidRDefault="008917D3">
            <w:pPr>
              <w:pStyle w:val="ConsPlusNormal"/>
              <w:rPr>
                <w:b/>
                <w:bCs/>
              </w:rPr>
            </w:pPr>
            <w:r w:rsidRPr="00FF6852">
              <w:rPr>
                <w:b/>
                <w:bCs/>
              </w:rPr>
              <w:t>ИТОГО</w:t>
            </w:r>
          </w:p>
        </w:tc>
        <w:tc>
          <w:tcPr>
            <w:tcW w:w="1984" w:type="dxa"/>
          </w:tcPr>
          <w:p w:rsidR="008917D3" w:rsidRPr="00FF6852" w:rsidRDefault="008917D3">
            <w:pPr>
              <w:pStyle w:val="ConsPlusNormal"/>
              <w:jc w:val="right"/>
              <w:rPr>
                <w:b/>
                <w:bCs/>
              </w:rPr>
            </w:pPr>
          </w:p>
        </w:tc>
        <w:tc>
          <w:tcPr>
            <w:tcW w:w="1276" w:type="dxa"/>
          </w:tcPr>
          <w:p w:rsidR="008917D3" w:rsidRPr="00FF6852" w:rsidRDefault="00B010C6" w:rsidP="004A3A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8007,902</w:t>
            </w:r>
          </w:p>
        </w:tc>
        <w:tc>
          <w:tcPr>
            <w:tcW w:w="1418" w:type="dxa"/>
          </w:tcPr>
          <w:p w:rsidR="008917D3" w:rsidRPr="00FF6852" w:rsidRDefault="00B010C6" w:rsidP="004A3A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8079,863</w:t>
            </w:r>
          </w:p>
        </w:tc>
        <w:tc>
          <w:tcPr>
            <w:tcW w:w="1417" w:type="dxa"/>
          </w:tcPr>
          <w:p w:rsidR="008917D3" w:rsidRPr="00FF6852" w:rsidRDefault="00B010C6" w:rsidP="004A3A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8154,697</w:t>
            </w:r>
          </w:p>
        </w:tc>
        <w:tc>
          <w:tcPr>
            <w:tcW w:w="1418" w:type="dxa"/>
          </w:tcPr>
          <w:p w:rsidR="008917D3" w:rsidRPr="00FF6852" w:rsidRDefault="00B010C6" w:rsidP="004A3A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8389,740</w:t>
            </w:r>
          </w:p>
        </w:tc>
        <w:tc>
          <w:tcPr>
            <w:tcW w:w="1275" w:type="dxa"/>
          </w:tcPr>
          <w:p w:rsidR="008917D3" w:rsidRPr="00FF6852" w:rsidRDefault="008917D3" w:rsidP="004A3A1F">
            <w:pPr>
              <w:jc w:val="center"/>
              <w:rPr>
                <w:b/>
                <w:bCs/>
              </w:rPr>
            </w:pPr>
            <w:r w:rsidRPr="00FF6852">
              <w:rPr>
                <w:b/>
                <w:bCs/>
              </w:rPr>
              <w:t>8389,740</w:t>
            </w:r>
          </w:p>
        </w:tc>
        <w:tc>
          <w:tcPr>
            <w:tcW w:w="1276" w:type="dxa"/>
          </w:tcPr>
          <w:p w:rsidR="008917D3" w:rsidRPr="00FF6852" w:rsidRDefault="008917D3" w:rsidP="004A3A1F">
            <w:pPr>
              <w:jc w:val="center"/>
              <w:rPr>
                <w:b/>
                <w:bCs/>
              </w:rPr>
            </w:pPr>
            <w:r w:rsidRPr="00FF6852">
              <w:rPr>
                <w:b/>
                <w:bCs/>
              </w:rPr>
              <w:t>8389,740</w:t>
            </w:r>
          </w:p>
        </w:tc>
      </w:tr>
    </w:tbl>
    <w:p w:rsidR="00FB1672" w:rsidRDefault="00FB1672">
      <w:pPr>
        <w:pStyle w:val="ConsPlusNormal"/>
        <w:jc w:val="both"/>
      </w:pPr>
    </w:p>
    <w:sectPr w:rsidR="00FB1672" w:rsidSect="00590725">
      <w:pgSz w:w="16838" w:h="11905" w:orient="landscape"/>
      <w:pgMar w:top="426" w:right="1134" w:bottom="284" w:left="1134" w:header="0" w:footer="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99.8pt;height:336.2pt;visibility:visible;mso-wrap-style:square" o:bullet="t">
        <v:imagedata r:id="rId1" o:title=""/>
      </v:shape>
    </w:pict>
  </w:numPicBullet>
  <w:numPicBullet w:numPicBulletId="1">
    <w:pict>
      <v:shape id="_x0000_i1027" type="#_x0000_t75" style="width:8in;height:336.2pt;visibility:visible;mso-wrap-style:square" o:bullet="t">
        <v:imagedata r:id="rId2" o:title=""/>
      </v:shape>
    </w:pict>
  </w:numPicBullet>
  <w:abstractNum w:abstractNumId="0" w15:restartNumberingAfterBreak="0">
    <w:nsid w:val="00944CED"/>
    <w:multiLevelType w:val="hybridMultilevel"/>
    <w:tmpl w:val="4FE205F4"/>
    <w:lvl w:ilvl="0" w:tplc="91CCEA4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Calibri" w:hint="default"/>
        <w:u w:val="singl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364CE"/>
    <w:multiLevelType w:val="hybridMultilevel"/>
    <w:tmpl w:val="E5466BE2"/>
    <w:lvl w:ilvl="0" w:tplc="5554D6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80F7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7613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8047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89E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26F8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4C41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7689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E61D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50E5184"/>
    <w:multiLevelType w:val="hybridMultilevel"/>
    <w:tmpl w:val="1688DB9A"/>
    <w:lvl w:ilvl="0" w:tplc="52B8DF5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81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F29C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4BB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BA1E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BE7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D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BC56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AE62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0A828A9"/>
    <w:multiLevelType w:val="hybridMultilevel"/>
    <w:tmpl w:val="4F9EE172"/>
    <w:lvl w:ilvl="0" w:tplc="CDBADAC4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372DD"/>
    <w:multiLevelType w:val="hybridMultilevel"/>
    <w:tmpl w:val="190E8FE0"/>
    <w:lvl w:ilvl="0" w:tplc="918E7D44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432167">
    <w:abstractNumId w:val="1"/>
  </w:num>
  <w:num w:numId="2" w16cid:durableId="1873883088">
    <w:abstractNumId w:val="2"/>
  </w:num>
  <w:num w:numId="3" w16cid:durableId="1087505864">
    <w:abstractNumId w:val="4"/>
  </w:num>
  <w:num w:numId="4" w16cid:durableId="522015102">
    <w:abstractNumId w:val="3"/>
  </w:num>
  <w:num w:numId="5" w16cid:durableId="124318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72"/>
    <w:rsid w:val="00001348"/>
    <w:rsid w:val="00001AF0"/>
    <w:rsid w:val="000218FE"/>
    <w:rsid w:val="0002568C"/>
    <w:rsid w:val="00025925"/>
    <w:rsid w:val="00030A1B"/>
    <w:rsid w:val="0003332C"/>
    <w:rsid w:val="00036923"/>
    <w:rsid w:val="0004515F"/>
    <w:rsid w:val="00060700"/>
    <w:rsid w:val="000624D7"/>
    <w:rsid w:val="000665A5"/>
    <w:rsid w:val="00067CF0"/>
    <w:rsid w:val="000778AA"/>
    <w:rsid w:val="000803E4"/>
    <w:rsid w:val="00082C42"/>
    <w:rsid w:val="00082C86"/>
    <w:rsid w:val="00082FED"/>
    <w:rsid w:val="000927B0"/>
    <w:rsid w:val="000A261A"/>
    <w:rsid w:val="000B3F1A"/>
    <w:rsid w:val="000C173B"/>
    <w:rsid w:val="000C684B"/>
    <w:rsid w:val="000F07C5"/>
    <w:rsid w:val="000F32E6"/>
    <w:rsid w:val="000F7D71"/>
    <w:rsid w:val="001069CF"/>
    <w:rsid w:val="001134A5"/>
    <w:rsid w:val="00125B0D"/>
    <w:rsid w:val="00137AB8"/>
    <w:rsid w:val="001433AE"/>
    <w:rsid w:val="00145B1E"/>
    <w:rsid w:val="00151DC0"/>
    <w:rsid w:val="00152864"/>
    <w:rsid w:val="001549CF"/>
    <w:rsid w:val="001574CA"/>
    <w:rsid w:val="0016193F"/>
    <w:rsid w:val="00167F42"/>
    <w:rsid w:val="00171E25"/>
    <w:rsid w:val="00175C3A"/>
    <w:rsid w:val="0018431A"/>
    <w:rsid w:val="001847F8"/>
    <w:rsid w:val="001850ED"/>
    <w:rsid w:val="0018597E"/>
    <w:rsid w:val="001864E9"/>
    <w:rsid w:val="00191EC3"/>
    <w:rsid w:val="00196C6A"/>
    <w:rsid w:val="001A18E8"/>
    <w:rsid w:val="001B2756"/>
    <w:rsid w:val="001B41A4"/>
    <w:rsid w:val="001C0910"/>
    <w:rsid w:val="001C7843"/>
    <w:rsid w:val="001E5D84"/>
    <w:rsid w:val="001F5E9D"/>
    <w:rsid w:val="0021512C"/>
    <w:rsid w:val="00221705"/>
    <w:rsid w:val="00232AFF"/>
    <w:rsid w:val="00241213"/>
    <w:rsid w:val="00242166"/>
    <w:rsid w:val="00245B90"/>
    <w:rsid w:val="00262D54"/>
    <w:rsid w:val="00263951"/>
    <w:rsid w:val="00274F11"/>
    <w:rsid w:val="00284F41"/>
    <w:rsid w:val="0028546E"/>
    <w:rsid w:val="00292621"/>
    <w:rsid w:val="00292B6D"/>
    <w:rsid w:val="0029455E"/>
    <w:rsid w:val="002968EE"/>
    <w:rsid w:val="002A0F27"/>
    <w:rsid w:val="002A70BE"/>
    <w:rsid w:val="002C5F34"/>
    <w:rsid w:val="002D10D9"/>
    <w:rsid w:val="002D2898"/>
    <w:rsid w:val="002D6A61"/>
    <w:rsid w:val="002F7494"/>
    <w:rsid w:val="00301D6D"/>
    <w:rsid w:val="00307599"/>
    <w:rsid w:val="00312EC3"/>
    <w:rsid w:val="0031334B"/>
    <w:rsid w:val="0032495A"/>
    <w:rsid w:val="00332C11"/>
    <w:rsid w:val="00341CF7"/>
    <w:rsid w:val="00345D06"/>
    <w:rsid w:val="00360DFE"/>
    <w:rsid w:val="003610B6"/>
    <w:rsid w:val="00371A71"/>
    <w:rsid w:val="00375E09"/>
    <w:rsid w:val="003766C1"/>
    <w:rsid w:val="003771A1"/>
    <w:rsid w:val="00380A5E"/>
    <w:rsid w:val="00391638"/>
    <w:rsid w:val="00392A67"/>
    <w:rsid w:val="00397535"/>
    <w:rsid w:val="00397615"/>
    <w:rsid w:val="003A104A"/>
    <w:rsid w:val="003A1F08"/>
    <w:rsid w:val="003B2843"/>
    <w:rsid w:val="003B4271"/>
    <w:rsid w:val="003C11FF"/>
    <w:rsid w:val="003C652F"/>
    <w:rsid w:val="003D2363"/>
    <w:rsid w:val="003D39A6"/>
    <w:rsid w:val="003D3E87"/>
    <w:rsid w:val="003D4D37"/>
    <w:rsid w:val="003D6F64"/>
    <w:rsid w:val="003D72CE"/>
    <w:rsid w:val="003D7E34"/>
    <w:rsid w:val="003E1F0E"/>
    <w:rsid w:val="003F540F"/>
    <w:rsid w:val="0040037B"/>
    <w:rsid w:val="00403CD8"/>
    <w:rsid w:val="00414666"/>
    <w:rsid w:val="004374C5"/>
    <w:rsid w:val="004536F3"/>
    <w:rsid w:val="00457024"/>
    <w:rsid w:val="00460904"/>
    <w:rsid w:val="00466B8D"/>
    <w:rsid w:val="00467EC3"/>
    <w:rsid w:val="00476ED1"/>
    <w:rsid w:val="00485224"/>
    <w:rsid w:val="00494EDF"/>
    <w:rsid w:val="004950B6"/>
    <w:rsid w:val="004A248B"/>
    <w:rsid w:val="004A3A1F"/>
    <w:rsid w:val="004B1718"/>
    <w:rsid w:val="004B3F0D"/>
    <w:rsid w:val="004C70C8"/>
    <w:rsid w:val="004C7447"/>
    <w:rsid w:val="004D004E"/>
    <w:rsid w:val="004E4730"/>
    <w:rsid w:val="004F20DF"/>
    <w:rsid w:val="004F701A"/>
    <w:rsid w:val="00500518"/>
    <w:rsid w:val="00502BC4"/>
    <w:rsid w:val="0050332F"/>
    <w:rsid w:val="00505090"/>
    <w:rsid w:val="005105F8"/>
    <w:rsid w:val="00520444"/>
    <w:rsid w:val="005243D9"/>
    <w:rsid w:val="00530718"/>
    <w:rsid w:val="00537C87"/>
    <w:rsid w:val="00542299"/>
    <w:rsid w:val="00543E74"/>
    <w:rsid w:val="005464E5"/>
    <w:rsid w:val="00552866"/>
    <w:rsid w:val="00555CFE"/>
    <w:rsid w:val="00557B80"/>
    <w:rsid w:val="00562BB4"/>
    <w:rsid w:val="0056352A"/>
    <w:rsid w:val="005677D0"/>
    <w:rsid w:val="005728CA"/>
    <w:rsid w:val="00573A6E"/>
    <w:rsid w:val="00573B3A"/>
    <w:rsid w:val="00573B76"/>
    <w:rsid w:val="00580942"/>
    <w:rsid w:val="00586581"/>
    <w:rsid w:val="00590725"/>
    <w:rsid w:val="00591ECF"/>
    <w:rsid w:val="00595801"/>
    <w:rsid w:val="0059615C"/>
    <w:rsid w:val="00596BAE"/>
    <w:rsid w:val="00597415"/>
    <w:rsid w:val="005A6317"/>
    <w:rsid w:val="005B69B0"/>
    <w:rsid w:val="005B7FBE"/>
    <w:rsid w:val="005C7A28"/>
    <w:rsid w:val="005D09E5"/>
    <w:rsid w:val="005D0EFE"/>
    <w:rsid w:val="005D42B3"/>
    <w:rsid w:val="005D578E"/>
    <w:rsid w:val="005E1BDB"/>
    <w:rsid w:val="005F042D"/>
    <w:rsid w:val="006066A6"/>
    <w:rsid w:val="006110F3"/>
    <w:rsid w:val="00611399"/>
    <w:rsid w:val="00637A0A"/>
    <w:rsid w:val="00642EA4"/>
    <w:rsid w:val="00646F4F"/>
    <w:rsid w:val="00650A0E"/>
    <w:rsid w:val="00652890"/>
    <w:rsid w:val="00655B54"/>
    <w:rsid w:val="006600E2"/>
    <w:rsid w:val="006653D0"/>
    <w:rsid w:val="00665B36"/>
    <w:rsid w:val="00694340"/>
    <w:rsid w:val="006B14A1"/>
    <w:rsid w:val="006B2EEE"/>
    <w:rsid w:val="006B6CFC"/>
    <w:rsid w:val="006C6E03"/>
    <w:rsid w:val="006D096D"/>
    <w:rsid w:val="006D11ED"/>
    <w:rsid w:val="006D53A6"/>
    <w:rsid w:val="006D5538"/>
    <w:rsid w:val="006D75AF"/>
    <w:rsid w:val="006E4FD5"/>
    <w:rsid w:val="006F0954"/>
    <w:rsid w:val="006F2843"/>
    <w:rsid w:val="0071079E"/>
    <w:rsid w:val="007113D3"/>
    <w:rsid w:val="007123D2"/>
    <w:rsid w:val="0073321E"/>
    <w:rsid w:val="0073417B"/>
    <w:rsid w:val="0073586F"/>
    <w:rsid w:val="00740BC7"/>
    <w:rsid w:val="00741F9D"/>
    <w:rsid w:val="0074225B"/>
    <w:rsid w:val="00747F79"/>
    <w:rsid w:val="00754CCA"/>
    <w:rsid w:val="00755AAA"/>
    <w:rsid w:val="00755DE5"/>
    <w:rsid w:val="00764A4E"/>
    <w:rsid w:val="00771EC0"/>
    <w:rsid w:val="007764A9"/>
    <w:rsid w:val="00776E54"/>
    <w:rsid w:val="00796EA0"/>
    <w:rsid w:val="007A06F5"/>
    <w:rsid w:val="007A17F0"/>
    <w:rsid w:val="007A6CFE"/>
    <w:rsid w:val="007A7064"/>
    <w:rsid w:val="007A78A7"/>
    <w:rsid w:val="007B22CD"/>
    <w:rsid w:val="007B7B19"/>
    <w:rsid w:val="007D4347"/>
    <w:rsid w:val="007E02CC"/>
    <w:rsid w:val="007E19EB"/>
    <w:rsid w:val="007E210F"/>
    <w:rsid w:val="007E39E4"/>
    <w:rsid w:val="007E71F9"/>
    <w:rsid w:val="007F3B45"/>
    <w:rsid w:val="008002B4"/>
    <w:rsid w:val="00801E0C"/>
    <w:rsid w:val="00810DD9"/>
    <w:rsid w:val="00823842"/>
    <w:rsid w:val="00834CA5"/>
    <w:rsid w:val="0083740E"/>
    <w:rsid w:val="008432CB"/>
    <w:rsid w:val="0084419A"/>
    <w:rsid w:val="008539D4"/>
    <w:rsid w:val="00854371"/>
    <w:rsid w:val="00863434"/>
    <w:rsid w:val="008724E3"/>
    <w:rsid w:val="008767A7"/>
    <w:rsid w:val="0088640A"/>
    <w:rsid w:val="00886550"/>
    <w:rsid w:val="008874E1"/>
    <w:rsid w:val="008917D3"/>
    <w:rsid w:val="00892196"/>
    <w:rsid w:val="00895A5B"/>
    <w:rsid w:val="008A3C0A"/>
    <w:rsid w:val="008A7F37"/>
    <w:rsid w:val="008B23BE"/>
    <w:rsid w:val="008B3A5E"/>
    <w:rsid w:val="008C0094"/>
    <w:rsid w:val="008C79AB"/>
    <w:rsid w:val="008D501D"/>
    <w:rsid w:val="008D5B87"/>
    <w:rsid w:val="008E4547"/>
    <w:rsid w:val="008F76EE"/>
    <w:rsid w:val="0090134E"/>
    <w:rsid w:val="00901AAD"/>
    <w:rsid w:val="009021D5"/>
    <w:rsid w:val="0092562E"/>
    <w:rsid w:val="00927D89"/>
    <w:rsid w:val="00932117"/>
    <w:rsid w:val="00934F07"/>
    <w:rsid w:val="00945420"/>
    <w:rsid w:val="00950966"/>
    <w:rsid w:val="00957B3F"/>
    <w:rsid w:val="009613D2"/>
    <w:rsid w:val="009777CA"/>
    <w:rsid w:val="0097797B"/>
    <w:rsid w:val="00982C39"/>
    <w:rsid w:val="0099543C"/>
    <w:rsid w:val="009B0B17"/>
    <w:rsid w:val="009B15EE"/>
    <w:rsid w:val="009B4CA2"/>
    <w:rsid w:val="009B7AEA"/>
    <w:rsid w:val="009C530F"/>
    <w:rsid w:val="009C7466"/>
    <w:rsid w:val="009D6CC8"/>
    <w:rsid w:val="009D758E"/>
    <w:rsid w:val="009E3A92"/>
    <w:rsid w:val="009E7825"/>
    <w:rsid w:val="009E7D63"/>
    <w:rsid w:val="009F0310"/>
    <w:rsid w:val="00A030F7"/>
    <w:rsid w:val="00A1003F"/>
    <w:rsid w:val="00A12BF3"/>
    <w:rsid w:val="00A1634F"/>
    <w:rsid w:val="00A171DF"/>
    <w:rsid w:val="00A209CC"/>
    <w:rsid w:val="00A25815"/>
    <w:rsid w:val="00A25D54"/>
    <w:rsid w:val="00A279CB"/>
    <w:rsid w:val="00A315DC"/>
    <w:rsid w:val="00A33B5F"/>
    <w:rsid w:val="00A369CF"/>
    <w:rsid w:val="00A44E91"/>
    <w:rsid w:val="00A47E14"/>
    <w:rsid w:val="00A52F49"/>
    <w:rsid w:val="00A544EA"/>
    <w:rsid w:val="00A54AE5"/>
    <w:rsid w:val="00A616F0"/>
    <w:rsid w:val="00A644D9"/>
    <w:rsid w:val="00A65FE7"/>
    <w:rsid w:val="00A72592"/>
    <w:rsid w:val="00A72CA2"/>
    <w:rsid w:val="00A755E0"/>
    <w:rsid w:val="00A77425"/>
    <w:rsid w:val="00A833E4"/>
    <w:rsid w:val="00A96EDC"/>
    <w:rsid w:val="00A97559"/>
    <w:rsid w:val="00AA2DA1"/>
    <w:rsid w:val="00AB3A94"/>
    <w:rsid w:val="00AB5617"/>
    <w:rsid w:val="00AB620A"/>
    <w:rsid w:val="00AB7AD1"/>
    <w:rsid w:val="00AD08E9"/>
    <w:rsid w:val="00AD0D31"/>
    <w:rsid w:val="00AD402F"/>
    <w:rsid w:val="00AE1E49"/>
    <w:rsid w:val="00AE5AD9"/>
    <w:rsid w:val="00AE7895"/>
    <w:rsid w:val="00B00F13"/>
    <w:rsid w:val="00B010C6"/>
    <w:rsid w:val="00B0237D"/>
    <w:rsid w:val="00B04DB9"/>
    <w:rsid w:val="00B063BD"/>
    <w:rsid w:val="00B06562"/>
    <w:rsid w:val="00B06573"/>
    <w:rsid w:val="00B10D82"/>
    <w:rsid w:val="00B15868"/>
    <w:rsid w:val="00B21208"/>
    <w:rsid w:val="00B21953"/>
    <w:rsid w:val="00B21E0A"/>
    <w:rsid w:val="00B23982"/>
    <w:rsid w:val="00B24ACE"/>
    <w:rsid w:val="00B27E0B"/>
    <w:rsid w:val="00B327C0"/>
    <w:rsid w:val="00B33DE2"/>
    <w:rsid w:val="00B42E44"/>
    <w:rsid w:val="00B451C2"/>
    <w:rsid w:val="00B4672B"/>
    <w:rsid w:val="00B50A0F"/>
    <w:rsid w:val="00B65B60"/>
    <w:rsid w:val="00B66087"/>
    <w:rsid w:val="00B66BE3"/>
    <w:rsid w:val="00B81AE5"/>
    <w:rsid w:val="00B837D1"/>
    <w:rsid w:val="00B83E71"/>
    <w:rsid w:val="00B863D0"/>
    <w:rsid w:val="00B92D05"/>
    <w:rsid w:val="00B966BA"/>
    <w:rsid w:val="00BA1864"/>
    <w:rsid w:val="00BA2691"/>
    <w:rsid w:val="00BA7AFF"/>
    <w:rsid w:val="00BB2B79"/>
    <w:rsid w:val="00BB475C"/>
    <w:rsid w:val="00BC0AF7"/>
    <w:rsid w:val="00BC29B6"/>
    <w:rsid w:val="00BC6160"/>
    <w:rsid w:val="00BD2065"/>
    <w:rsid w:val="00BD303D"/>
    <w:rsid w:val="00BD4318"/>
    <w:rsid w:val="00BE132F"/>
    <w:rsid w:val="00BE4BBB"/>
    <w:rsid w:val="00BE69C4"/>
    <w:rsid w:val="00BE7F65"/>
    <w:rsid w:val="00BF580C"/>
    <w:rsid w:val="00BF65CE"/>
    <w:rsid w:val="00C0008B"/>
    <w:rsid w:val="00C2280D"/>
    <w:rsid w:val="00C23BFD"/>
    <w:rsid w:val="00C25A95"/>
    <w:rsid w:val="00C33B1A"/>
    <w:rsid w:val="00C43367"/>
    <w:rsid w:val="00C608D4"/>
    <w:rsid w:val="00C67C22"/>
    <w:rsid w:val="00C70A15"/>
    <w:rsid w:val="00C90575"/>
    <w:rsid w:val="00C91FDF"/>
    <w:rsid w:val="00C975D1"/>
    <w:rsid w:val="00C97628"/>
    <w:rsid w:val="00CA3128"/>
    <w:rsid w:val="00CA3A86"/>
    <w:rsid w:val="00CA498A"/>
    <w:rsid w:val="00CB2264"/>
    <w:rsid w:val="00CB3AFB"/>
    <w:rsid w:val="00CB4ABE"/>
    <w:rsid w:val="00CC0E48"/>
    <w:rsid w:val="00CD2D32"/>
    <w:rsid w:val="00CD3363"/>
    <w:rsid w:val="00CD4592"/>
    <w:rsid w:val="00CE415C"/>
    <w:rsid w:val="00CE42E4"/>
    <w:rsid w:val="00CF77E1"/>
    <w:rsid w:val="00D011BA"/>
    <w:rsid w:val="00D034D6"/>
    <w:rsid w:val="00D27076"/>
    <w:rsid w:val="00D27431"/>
    <w:rsid w:val="00D32C45"/>
    <w:rsid w:val="00D402EA"/>
    <w:rsid w:val="00D43D59"/>
    <w:rsid w:val="00D5132E"/>
    <w:rsid w:val="00D55E12"/>
    <w:rsid w:val="00D67A7B"/>
    <w:rsid w:val="00D70D2F"/>
    <w:rsid w:val="00D7317B"/>
    <w:rsid w:val="00D76A0C"/>
    <w:rsid w:val="00D9247B"/>
    <w:rsid w:val="00D95FC1"/>
    <w:rsid w:val="00D96DAF"/>
    <w:rsid w:val="00DA102D"/>
    <w:rsid w:val="00DA6051"/>
    <w:rsid w:val="00DB1F7E"/>
    <w:rsid w:val="00DD28EB"/>
    <w:rsid w:val="00DD3FB5"/>
    <w:rsid w:val="00E00486"/>
    <w:rsid w:val="00E11621"/>
    <w:rsid w:val="00E1647B"/>
    <w:rsid w:val="00E21CFB"/>
    <w:rsid w:val="00E22A7C"/>
    <w:rsid w:val="00E247F6"/>
    <w:rsid w:val="00E323E6"/>
    <w:rsid w:val="00E40AD2"/>
    <w:rsid w:val="00E46561"/>
    <w:rsid w:val="00E52349"/>
    <w:rsid w:val="00E5671A"/>
    <w:rsid w:val="00E77524"/>
    <w:rsid w:val="00E8709E"/>
    <w:rsid w:val="00E92309"/>
    <w:rsid w:val="00E95C02"/>
    <w:rsid w:val="00EA08A3"/>
    <w:rsid w:val="00EA0B99"/>
    <w:rsid w:val="00EA2F24"/>
    <w:rsid w:val="00EB0DAC"/>
    <w:rsid w:val="00EB4D73"/>
    <w:rsid w:val="00EB7AE1"/>
    <w:rsid w:val="00EC2121"/>
    <w:rsid w:val="00EC69C2"/>
    <w:rsid w:val="00ED3942"/>
    <w:rsid w:val="00EE045D"/>
    <w:rsid w:val="00EE7492"/>
    <w:rsid w:val="00EF17C5"/>
    <w:rsid w:val="00EF22B5"/>
    <w:rsid w:val="00EF6061"/>
    <w:rsid w:val="00F00D2F"/>
    <w:rsid w:val="00F0224D"/>
    <w:rsid w:val="00F03169"/>
    <w:rsid w:val="00F10688"/>
    <w:rsid w:val="00F108BD"/>
    <w:rsid w:val="00F131FF"/>
    <w:rsid w:val="00F15EC6"/>
    <w:rsid w:val="00F220F4"/>
    <w:rsid w:val="00F3351C"/>
    <w:rsid w:val="00F36645"/>
    <w:rsid w:val="00F43181"/>
    <w:rsid w:val="00F476B6"/>
    <w:rsid w:val="00F51173"/>
    <w:rsid w:val="00F5305C"/>
    <w:rsid w:val="00F61C34"/>
    <w:rsid w:val="00F82D13"/>
    <w:rsid w:val="00F84159"/>
    <w:rsid w:val="00F8569C"/>
    <w:rsid w:val="00F86A06"/>
    <w:rsid w:val="00F905EC"/>
    <w:rsid w:val="00F950F9"/>
    <w:rsid w:val="00F952E8"/>
    <w:rsid w:val="00F962CF"/>
    <w:rsid w:val="00FA4020"/>
    <w:rsid w:val="00FA4240"/>
    <w:rsid w:val="00FA7E57"/>
    <w:rsid w:val="00FB1672"/>
    <w:rsid w:val="00FB32F2"/>
    <w:rsid w:val="00FB4726"/>
    <w:rsid w:val="00FC068B"/>
    <w:rsid w:val="00FC6A57"/>
    <w:rsid w:val="00FD0AA2"/>
    <w:rsid w:val="00FD55F1"/>
    <w:rsid w:val="00FD6AF3"/>
    <w:rsid w:val="00FE153E"/>
    <w:rsid w:val="00FF2B92"/>
    <w:rsid w:val="00FF5B22"/>
    <w:rsid w:val="00FF6148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993577E"/>
  <w15:docId w15:val="{715627A0-9B59-4933-B123-101214A3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6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B16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B16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B16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B16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B167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B167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B16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303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D303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B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2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4578</Words>
  <Characters>26096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Buhgalter</cp:lastModifiedBy>
  <cp:revision>5</cp:revision>
  <cp:lastPrinted>2023-11-14T08:28:00Z</cp:lastPrinted>
  <dcterms:created xsi:type="dcterms:W3CDTF">2023-10-17T12:45:00Z</dcterms:created>
  <dcterms:modified xsi:type="dcterms:W3CDTF">2023-11-14T08:28:00Z</dcterms:modified>
</cp:coreProperties>
</file>