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44D1" w:rsidRDefault="007644D1" w:rsidP="003B319C">
      <w:pPr>
        <w:pStyle w:val="ConsPlusNonformat"/>
        <w:ind w:right="-568"/>
        <w:rPr>
          <w:rFonts w:ascii="Times New Roman" w:hAnsi="Times New Roman" w:cs="Times New Roman"/>
          <w:sz w:val="24"/>
          <w:szCs w:val="24"/>
        </w:rPr>
      </w:pPr>
    </w:p>
    <w:p w:rsidR="007644D1" w:rsidRDefault="007644D1" w:rsidP="003B319C">
      <w:pPr>
        <w:pStyle w:val="ConsPlusNonformat"/>
        <w:ind w:right="-568"/>
        <w:rPr>
          <w:rFonts w:ascii="Times New Roman" w:hAnsi="Times New Roman" w:cs="Times New Roman"/>
          <w:sz w:val="24"/>
          <w:szCs w:val="24"/>
        </w:rPr>
      </w:pPr>
    </w:p>
    <w:p w:rsidR="005F7865" w:rsidRPr="009A52F4" w:rsidRDefault="005F7865" w:rsidP="005F7865">
      <w:pPr>
        <w:pStyle w:val="ConsPlusNonformat"/>
        <w:ind w:left="-993" w:right="-56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52F4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5F7865" w:rsidRPr="009A52F4" w:rsidRDefault="005F7865" w:rsidP="005F7865">
      <w:pPr>
        <w:pStyle w:val="ConsPlusNonformat"/>
        <w:ind w:left="-993" w:right="-56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52F4">
        <w:rPr>
          <w:rFonts w:ascii="Times New Roman" w:hAnsi="Times New Roman" w:cs="Times New Roman"/>
          <w:b/>
          <w:sz w:val="26"/>
          <w:szCs w:val="26"/>
        </w:rPr>
        <w:t>муниципальной программы муниципального района «Мещовский район»</w:t>
      </w:r>
    </w:p>
    <w:p w:rsidR="005F7865" w:rsidRPr="009A52F4" w:rsidRDefault="005F7865" w:rsidP="005F7865">
      <w:pPr>
        <w:pStyle w:val="ConsPlusNonformat"/>
        <w:ind w:left="-993" w:right="-56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52F4">
        <w:rPr>
          <w:rFonts w:ascii="Times New Roman" w:hAnsi="Times New Roman" w:cs="Times New Roman"/>
          <w:b/>
          <w:sz w:val="26"/>
          <w:szCs w:val="26"/>
        </w:rPr>
        <w:t xml:space="preserve"> «Развитие физ</w:t>
      </w:r>
      <w:r w:rsidR="00435614">
        <w:rPr>
          <w:rFonts w:ascii="Times New Roman" w:hAnsi="Times New Roman" w:cs="Times New Roman"/>
          <w:b/>
          <w:sz w:val="26"/>
          <w:szCs w:val="26"/>
        </w:rPr>
        <w:t>ической культуры</w:t>
      </w:r>
      <w:r w:rsidRPr="009A52F4">
        <w:rPr>
          <w:rFonts w:ascii="Times New Roman" w:hAnsi="Times New Roman" w:cs="Times New Roman"/>
          <w:b/>
          <w:sz w:val="26"/>
          <w:szCs w:val="26"/>
        </w:rPr>
        <w:t xml:space="preserve"> и спорта в МР «Мещовский район» </w:t>
      </w:r>
    </w:p>
    <w:p w:rsidR="005F7865" w:rsidRPr="009A52F4" w:rsidRDefault="005F7865" w:rsidP="005F7865">
      <w:pPr>
        <w:pStyle w:val="ConsPlusNonformat"/>
        <w:ind w:left="-993" w:right="-568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632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7796"/>
      </w:tblGrid>
      <w:tr w:rsidR="005F7865" w:rsidRPr="009A52F4" w:rsidTr="00F46D55">
        <w:trPr>
          <w:trHeight w:val="400"/>
          <w:tblCellSpacing w:w="5" w:type="nil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5F7865" w:rsidP="007644D1">
            <w:pPr>
              <w:pStyle w:val="ConsPlusCell"/>
            </w:pPr>
            <w:r w:rsidRPr="00F46D55">
              <w:t xml:space="preserve">1. Ответственный исполнитель        </w:t>
            </w:r>
            <w:r w:rsidRPr="00F46D55">
              <w:br/>
              <w:t xml:space="preserve">муниципальной программы            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9A52F4" w:rsidP="007644D1">
            <w:pPr>
              <w:pStyle w:val="ConsPlusCell"/>
            </w:pPr>
            <w:r w:rsidRPr="00F46D55">
              <w:t>Администрация (исполнительно-распорядительный орган) муниципального района «Мещовский район»</w:t>
            </w:r>
          </w:p>
        </w:tc>
      </w:tr>
      <w:tr w:rsidR="009A52F4" w:rsidRPr="009A52F4" w:rsidTr="00F46D55">
        <w:trPr>
          <w:trHeight w:val="400"/>
          <w:tblCellSpacing w:w="5" w:type="nil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F4" w:rsidRPr="00F46D55" w:rsidRDefault="009A52F4" w:rsidP="00045F28">
            <w:pPr>
              <w:pStyle w:val="ConsPlusCell"/>
            </w:pPr>
            <w:r w:rsidRPr="00F46D55">
              <w:t>2. Соисполнител</w:t>
            </w:r>
            <w:r w:rsidR="00045F28" w:rsidRPr="00F46D55">
              <w:t>и</w:t>
            </w:r>
            <w:r w:rsidRPr="00F46D55">
              <w:t xml:space="preserve">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F4" w:rsidRPr="00F46D55" w:rsidRDefault="009A52F4" w:rsidP="007644D1">
            <w:pPr>
              <w:pStyle w:val="ConsPlusCell"/>
            </w:pPr>
            <w:r w:rsidRPr="00F46D55">
              <w:t>МКУ «Центр развития физкультуры и спорта «Олимп» муниципального района «Мещовский район»</w:t>
            </w:r>
          </w:p>
        </w:tc>
      </w:tr>
      <w:tr w:rsidR="005F7865" w:rsidRPr="009A52F4" w:rsidTr="00F46D55">
        <w:trPr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9A52F4" w:rsidP="007644D1">
            <w:pPr>
              <w:pStyle w:val="ConsPlusCell"/>
            </w:pPr>
            <w:r w:rsidRPr="00F46D55">
              <w:t>3</w:t>
            </w:r>
            <w:r w:rsidR="005F7865" w:rsidRPr="00F46D55">
              <w:t xml:space="preserve">. Цели муниципальной программы     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5F7865" w:rsidP="005F786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укрепления здоровья населения путем  развития инфраструктуры спорта, популяризация массового спорта, приобщение различных слоев населения к регулярным </w:t>
            </w:r>
          </w:p>
          <w:p w:rsidR="005F7865" w:rsidRPr="00F46D55" w:rsidRDefault="005F7865" w:rsidP="005F786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занятиям физической культурой и спортом в МР "Мещовский  </w:t>
            </w:r>
          </w:p>
          <w:p w:rsidR="005F7865" w:rsidRPr="00F46D55" w:rsidRDefault="005F7865" w:rsidP="005F7865">
            <w:pPr>
              <w:pStyle w:val="ConsPlusCell"/>
            </w:pPr>
            <w:r w:rsidRPr="00F46D55">
              <w:rPr>
                <w:color w:val="000000"/>
              </w:rPr>
              <w:t xml:space="preserve">район"                                                    </w:t>
            </w:r>
          </w:p>
        </w:tc>
      </w:tr>
      <w:tr w:rsidR="005F7865" w:rsidRPr="009A52F4" w:rsidTr="00F46D55">
        <w:trPr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9A52F4" w:rsidP="007644D1">
            <w:pPr>
              <w:pStyle w:val="ConsPlusCell"/>
            </w:pPr>
            <w:r w:rsidRPr="00F46D55">
              <w:t>4</w:t>
            </w:r>
            <w:r w:rsidR="005F7865" w:rsidRPr="00F46D55">
              <w:t xml:space="preserve">. Задачи муниципальной программы   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A9" w:rsidRPr="00F46D55" w:rsidRDefault="001937A9" w:rsidP="001937A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 интереса населения к занятиям физической культурой и спортом;</w:t>
            </w:r>
          </w:p>
          <w:p w:rsidR="001937A9" w:rsidRPr="00F46D55" w:rsidRDefault="001937A9" w:rsidP="001937A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инфраструктуры для занятий массовым спортом в образовательных учреждениях, по месту жительства;</w:t>
            </w:r>
          </w:p>
          <w:p w:rsidR="001937A9" w:rsidRPr="00F46D55" w:rsidRDefault="001937A9" w:rsidP="001937A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подростков;                                               </w:t>
            </w:r>
          </w:p>
          <w:p w:rsidR="001937A9" w:rsidRPr="00F46D55" w:rsidRDefault="001937A9" w:rsidP="001937A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развитие материально-технической базы для подготовки спортивного резерва;                                     </w:t>
            </w:r>
          </w:p>
          <w:p w:rsidR="001937A9" w:rsidRPr="00F46D55" w:rsidRDefault="001937A9" w:rsidP="001937A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вовлечение несовершеннолетних правонарушителей в кружки и секции спортивной направленности;</w:t>
            </w:r>
          </w:p>
          <w:p w:rsidR="001937A9" w:rsidRPr="00F46D55" w:rsidRDefault="001937A9" w:rsidP="001937A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проведение пропаганды и информационной работы, направленной на формирование у граждан осознанных потребностей в систематических занятиях физической культурой и спортом, физ</w:t>
            </w:r>
            <w:r w:rsidR="00A50138"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ическом совершенствовании и вед</w:t>
            </w: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ении здорового образа жизни;</w:t>
            </w:r>
          </w:p>
          <w:p w:rsidR="005F7865" w:rsidRPr="00F46D55" w:rsidRDefault="001937A9" w:rsidP="00A501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создание условий и оказание консультационной и методической помощи гражданам, физкультурно-спортивным, общественным и иным организациям в подготовке к выполнению государственных требований к уровню физической подготовленности населения при выполнении нормативов ГТО</w:t>
            </w:r>
            <w:r w:rsidR="00A50138"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утвержденных Приказом Минспорта России от 19.06.2017 г. № 542 «Об утверждении государственных требований Всеро</w:t>
            </w:r>
            <w:r w:rsidR="0067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50138"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физкультурно-оздоровительного комплекса «Готов к труду и обороне»</w:t>
            </w:r>
            <w:r w:rsidR="00245505"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(ГТО) на 201</w:t>
            </w:r>
            <w:r w:rsidR="0067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45505"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67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245505"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9A52F4" w:rsidRPr="009A52F4" w:rsidTr="00F46D55">
        <w:trPr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F4" w:rsidRPr="00F46D55" w:rsidRDefault="009A52F4" w:rsidP="007644D1">
            <w:pPr>
              <w:pStyle w:val="ConsPlusCell"/>
            </w:pPr>
            <w:r w:rsidRPr="00F46D55">
              <w:t>5. Подпрограммы муниципальной программы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F4" w:rsidRPr="00F46D55" w:rsidRDefault="009A52F4" w:rsidP="001937A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выделяются</w:t>
            </w:r>
          </w:p>
        </w:tc>
      </w:tr>
      <w:tr w:rsidR="005F7865" w:rsidRPr="009A52F4" w:rsidTr="00F46D55">
        <w:trPr>
          <w:trHeight w:val="4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9A52F4" w:rsidP="007644D1">
            <w:pPr>
              <w:pStyle w:val="ConsPlusCell"/>
            </w:pPr>
            <w:r w:rsidRPr="00F46D55">
              <w:t>6</w:t>
            </w:r>
            <w:r w:rsidR="005F7865" w:rsidRPr="00F46D55">
              <w:t xml:space="preserve">. Индикаторы </w:t>
            </w:r>
            <w:r w:rsidR="005F7865" w:rsidRPr="00F46D55">
              <w:br/>
              <w:t xml:space="preserve">муниципальной программы             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B7" w:rsidRPr="00F46D55" w:rsidRDefault="00C00241" w:rsidP="00C0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Доля граждан Мещовского района, систематически занимающихся физической культурой и спортом, в общей численности населения;</w:t>
            </w:r>
          </w:p>
        </w:tc>
      </w:tr>
      <w:tr w:rsidR="005F7865" w:rsidRPr="009A52F4" w:rsidTr="00F46D55">
        <w:trPr>
          <w:trHeight w:val="4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9A52F4" w:rsidP="007644D1">
            <w:pPr>
              <w:pStyle w:val="ConsPlusCell"/>
            </w:pPr>
            <w:r w:rsidRPr="00F46D55">
              <w:t>7</w:t>
            </w:r>
            <w:r w:rsidR="005F7865" w:rsidRPr="00F46D55">
              <w:t xml:space="preserve">. Сроки и этапы реализации         </w:t>
            </w:r>
            <w:r w:rsidR="005F7865" w:rsidRPr="00F46D55">
              <w:br/>
              <w:t xml:space="preserve">муниципальной программы             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5F7865" w:rsidP="007644D1">
            <w:pPr>
              <w:pStyle w:val="ConsPlusCell"/>
            </w:pPr>
            <w:r w:rsidRPr="00F46D55">
              <w:t>2019-202</w:t>
            </w:r>
            <w:r w:rsidR="00675C14">
              <w:t>6</w:t>
            </w:r>
            <w:r w:rsidRPr="00F46D55">
              <w:t xml:space="preserve"> годы, в один этап</w:t>
            </w:r>
            <w:r w:rsidR="009A52F4" w:rsidRPr="00F46D55">
              <w:t>.</w:t>
            </w:r>
          </w:p>
          <w:p w:rsidR="005F7865" w:rsidRPr="00F46D55" w:rsidRDefault="005F7865" w:rsidP="007644D1">
            <w:pPr>
              <w:pStyle w:val="ConsPlusCell"/>
            </w:pPr>
          </w:p>
        </w:tc>
      </w:tr>
      <w:tr w:rsidR="005F7865" w:rsidRPr="009A52F4" w:rsidTr="00F46D55">
        <w:trPr>
          <w:trHeight w:val="1832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CE2E71" w:rsidP="007644D1">
            <w:pPr>
              <w:pStyle w:val="ConsPlusCell"/>
            </w:pPr>
            <w:r w:rsidRPr="00F46D55">
              <w:lastRenderedPageBreak/>
              <w:t>8</w:t>
            </w:r>
            <w:r w:rsidR="005F7865" w:rsidRPr="00F46D55">
              <w:t xml:space="preserve">. Объемы </w:t>
            </w:r>
            <w:r w:rsidR="005F7865" w:rsidRPr="00F46D55">
              <w:br/>
              <w:t xml:space="preserve">финансирования муниципальной        </w:t>
            </w:r>
            <w:r w:rsidR="005F7865" w:rsidRPr="00F46D55">
              <w:br/>
              <w:t xml:space="preserve">программы  за счет бюджетных ассигнований                         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F4" w:rsidRPr="00F46D55" w:rsidRDefault="009A52F4" w:rsidP="009A52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 xml:space="preserve">  Общий объем финансирования муниципальной программы за счет средств бюджета муниципального района «Мещовский район» составляет </w:t>
            </w:r>
            <w:r w:rsidR="0096565C">
              <w:rPr>
                <w:rFonts w:ascii="Times New Roman" w:hAnsi="Times New Roman" w:cs="Times New Roman"/>
                <w:b/>
                <w:sz w:val="24"/>
                <w:szCs w:val="24"/>
              </w:rPr>
              <w:t>87 775,1</w:t>
            </w:r>
            <w:r w:rsidRPr="00F46D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</w:t>
            </w: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9A52F4" w:rsidRPr="00F46D55" w:rsidRDefault="009A52F4" w:rsidP="009A52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 xml:space="preserve">2019г. – </w:t>
            </w:r>
            <w:r w:rsidR="00BC74D7">
              <w:rPr>
                <w:rFonts w:ascii="Times New Roman" w:hAnsi="Times New Roman" w:cs="Times New Roman"/>
                <w:sz w:val="24"/>
                <w:szCs w:val="24"/>
              </w:rPr>
              <w:t>26 871,8</w:t>
            </w: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965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9656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52F4" w:rsidRPr="00F46D55" w:rsidRDefault="009A52F4" w:rsidP="009A52F4">
            <w:pPr>
              <w:pStyle w:val="ConsPlusCell"/>
              <w:jc w:val="both"/>
            </w:pPr>
            <w:r w:rsidRPr="00F46D55">
              <w:t xml:space="preserve">2020г. – </w:t>
            </w:r>
            <w:r w:rsidR="00C00241" w:rsidRPr="00F46D55">
              <w:t>7 075</w:t>
            </w:r>
            <w:r w:rsidRPr="00F46D55">
              <w:t>,</w:t>
            </w:r>
            <w:r w:rsidR="00C00241" w:rsidRPr="00F46D55">
              <w:t>4</w:t>
            </w:r>
            <w:r w:rsidRPr="00F46D55">
              <w:t xml:space="preserve"> тыс.</w:t>
            </w:r>
            <w:r w:rsidR="0096565C">
              <w:t xml:space="preserve"> </w:t>
            </w:r>
            <w:r w:rsidRPr="00F46D55">
              <w:t xml:space="preserve">руб. </w:t>
            </w:r>
          </w:p>
          <w:p w:rsidR="009A52F4" w:rsidRPr="00F46D55" w:rsidRDefault="009A52F4" w:rsidP="009A52F4">
            <w:pPr>
              <w:pStyle w:val="ConsPlusCell"/>
              <w:jc w:val="both"/>
            </w:pPr>
            <w:r w:rsidRPr="00F46D55">
              <w:t xml:space="preserve">2021г. – </w:t>
            </w:r>
            <w:r w:rsidR="00BC74D7">
              <w:t>7</w:t>
            </w:r>
            <w:r w:rsidR="00160381">
              <w:t> </w:t>
            </w:r>
            <w:r w:rsidR="00BC74D7">
              <w:t>2</w:t>
            </w:r>
            <w:r w:rsidR="00160381">
              <w:t>70,2</w:t>
            </w:r>
            <w:r w:rsidRPr="00F46D55">
              <w:t xml:space="preserve"> тыс.</w:t>
            </w:r>
            <w:r w:rsidR="0096565C">
              <w:t xml:space="preserve"> </w:t>
            </w:r>
            <w:r w:rsidRPr="00F46D55">
              <w:t xml:space="preserve">руб.           </w:t>
            </w:r>
          </w:p>
          <w:p w:rsidR="009A52F4" w:rsidRPr="00F46D55" w:rsidRDefault="009A52F4" w:rsidP="009A52F4">
            <w:pPr>
              <w:pStyle w:val="ConsPlusCell"/>
              <w:jc w:val="both"/>
            </w:pPr>
            <w:r w:rsidRPr="00F46D55">
              <w:t xml:space="preserve">2022г. – </w:t>
            </w:r>
            <w:r w:rsidR="00DE2B39">
              <w:t>6</w:t>
            </w:r>
            <w:r w:rsidR="00BC74D7">
              <w:t> </w:t>
            </w:r>
            <w:r w:rsidR="00DE2B39">
              <w:t>973</w:t>
            </w:r>
            <w:r w:rsidR="00BC74D7">
              <w:t>,</w:t>
            </w:r>
            <w:r w:rsidR="00DE2B39">
              <w:t>6</w:t>
            </w:r>
            <w:r w:rsidRPr="00F46D55">
              <w:t xml:space="preserve"> тыс.</w:t>
            </w:r>
            <w:r w:rsidR="0096565C">
              <w:t xml:space="preserve"> </w:t>
            </w:r>
            <w:r w:rsidRPr="00F46D55">
              <w:t>руб.</w:t>
            </w:r>
          </w:p>
          <w:p w:rsidR="009A52F4" w:rsidRPr="00F46D55" w:rsidRDefault="009A52F4" w:rsidP="009A52F4">
            <w:pPr>
              <w:pStyle w:val="ConsPlusCell"/>
              <w:jc w:val="both"/>
            </w:pPr>
            <w:r w:rsidRPr="00F46D55">
              <w:t xml:space="preserve">2023г. – </w:t>
            </w:r>
            <w:r w:rsidR="00990EFD">
              <w:t>8 679,6</w:t>
            </w:r>
            <w:r w:rsidRPr="00F46D55">
              <w:t xml:space="preserve"> тыс.</w:t>
            </w:r>
            <w:r w:rsidR="0096565C">
              <w:t xml:space="preserve"> </w:t>
            </w:r>
            <w:r w:rsidRPr="00F46D55">
              <w:t xml:space="preserve">руб.           </w:t>
            </w:r>
          </w:p>
          <w:p w:rsidR="004E6E05" w:rsidRDefault="009A52F4" w:rsidP="00DE2B39">
            <w:pPr>
              <w:pStyle w:val="ConsPlusCell"/>
            </w:pPr>
            <w:r w:rsidRPr="00F46D55">
              <w:t xml:space="preserve">2024г. – </w:t>
            </w:r>
            <w:r w:rsidR="0096565C">
              <w:t>10 123,1</w:t>
            </w:r>
            <w:r w:rsidRPr="00F46D55">
              <w:t xml:space="preserve"> тыс.</w:t>
            </w:r>
            <w:r w:rsidR="0096565C">
              <w:t xml:space="preserve"> </w:t>
            </w:r>
            <w:r w:rsidRPr="00F46D55">
              <w:t xml:space="preserve">руб.  </w:t>
            </w:r>
          </w:p>
          <w:p w:rsidR="00675C14" w:rsidRDefault="004E6E05" w:rsidP="00DE2B39">
            <w:pPr>
              <w:pStyle w:val="ConsPlusCell"/>
            </w:pPr>
            <w:r>
              <w:t xml:space="preserve">2025г. - </w:t>
            </w:r>
            <w:r w:rsidR="0096565C">
              <w:t>10 290,4</w:t>
            </w:r>
            <w:r w:rsidR="00990EFD">
              <w:t xml:space="preserve"> тыс.</w:t>
            </w:r>
            <w:r w:rsidR="0096565C">
              <w:t xml:space="preserve"> </w:t>
            </w:r>
            <w:r w:rsidR="00990EFD">
              <w:t>руб</w:t>
            </w:r>
            <w:r w:rsidR="0096565C">
              <w:t>.</w:t>
            </w:r>
            <w:r w:rsidR="009A52F4" w:rsidRPr="00F46D55">
              <w:t xml:space="preserve">  </w:t>
            </w:r>
          </w:p>
          <w:p w:rsidR="005F7865" w:rsidRPr="00F46D55" w:rsidRDefault="00675C14" w:rsidP="00DE2B39">
            <w:pPr>
              <w:pStyle w:val="ConsPlusCell"/>
            </w:pPr>
            <w:r>
              <w:t xml:space="preserve">2026г. - </w:t>
            </w:r>
            <w:r w:rsidR="0096565C">
              <w:t>10 491,0 тыс. руб.</w:t>
            </w:r>
          </w:p>
        </w:tc>
      </w:tr>
      <w:tr w:rsidR="005F7865" w:rsidRPr="009A52F4" w:rsidTr="00F46D55">
        <w:trPr>
          <w:trHeight w:val="4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CE2E71" w:rsidP="007644D1">
            <w:pPr>
              <w:pStyle w:val="ConsPlusCell"/>
            </w:pPr>
            <w:r w:rsidRPr="00F46D55">
              <w:t>9</w:t>
            </w:r>
            <w:r w:rsidR="005F7865" w:rsidRPr="00F46D55">
              <w:t xml:space="preserve">. Ожидаемые результаты реализации </w:t>
            </w:r>
            <w:r w:rsidR="005F7865" w:rsidRPr="00F46D55">
              <w:br/>
              <w:t xml:space="preserve">муниципальной программы             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5" w:rsidRPr="00F46D55" w:rsidRDefault="00B165DA" w:rsidP="00B165DA">
            <w:pPr>
              <w:tabs>
                <w:tab w:val="left" w:pos="66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66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7865" w:rsidRPr="00F46D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занятий физкультурой и спортом всем жителям Мещовского района;</w:t>
            </w:r>
          </w:p>
          <w:p w:rsidR="00B165DA" w:rsidRPr="00F46D55" w:rsidRDefault="00B165DA" w:rsidP="00B165DA">
            <w:pPr>
              <w:tabs>
                <w:tab w:val="left" w:pos="66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66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>- увеличение доли жителей района систематически занимающихся физической культурой и спортом до 30% от общего числа жителей района;</w:t>
            </w:r>
          </w:p>
          <w:p w:rsidR="00B165DA" w:rsidRPr="00F46D55" w:rsidRDefault="00B165DA" w:rsidP="00B165DA">
            <w:pPr>
              <w:tabs>
                <w:tab w:val="left" w:pos="66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66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>- улучшение здоровья граждан, уменьшение количества асоциальных проявлений, прежде всего среди подростков и молодежи;</w:t>
            </w:r>
          </w:p>
          <w:p w:rsidR="00B165DA" w:rsidRPr="00F46D55" w:rsidRDefault="00B165DA" w:rsidP="00B165DA">
            <w:pPr>
              <w:tabs>
                <w:tab w:val="left" w:pos="66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66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7383" w:rsidRPr="00F46D55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квалифицированных педагогов и тренеров</w:t>
            </w:r>
            <w:r w:rsidR="00BD7383" w:rsidRPr="00F46D55">
              <w:rPr>
                <w:rFonts w:ascii="Times New Roman" w:hAnsi="Times New Roman" w:cs="Times New Roman"/>
                <w:sz w:val="24"/>
                <w:szCs w:val="24"/>
              </w:rPr>
              <w:t>-преподавателей, работающих в сфере физической культуры и спорта;</w:t>
            </w:r>
          </w:p>
          <w:p w:rsidR="00BD7383" w:rsidRPr="00F46D55" w:rsidRDefault="00BD7383" w:rsidP="00B165DA">
            <w:pPr>
              <w:tabs>
                <w:tab w:val="left" w:pos="66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66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детей подростков занимающихся в спортивных учреждениях спортивной направленности до 20% от общего числа детей и подростков в возрасте от 7 до 16 лет;</w:t>
            </w:r>
          </w:p>
          <w:p w:rsidR="00BD7383" w:rsidRPr="00F46D55" w:rsidRDefault="00BD7383" w:rsidP="00B165DA">
            <w:pPr>
              <w:tabs>
                <w:tab w:val="left" w:pos="66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66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D55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учебно-тренировочной работы и уровня результатов выступлений на областных, Всероссийских и международных соревнованиях; повышение показателя выполнения разрядных требований ЕВСК.</w:t>
            </w:r>
          </w:p>
          <w:p w:rsidR="00B165DA" w:rsidRPr="00F46D55" w:rsidRDefault="00B165DA" w:rsidP="00C00241">
            <w:pPr>
              <w:tabs>
                <w:tab w:val="left" w:pos="66"/>
                <w:tab w:val="left" w:pos="709"/>
              </w:tabs>
              <w:autoSpaceDE w:val="0"/>
              <w:autoSpaceDN w:val="0"/>
              <w:adjustRightInd w:val="0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7865" w:rsidRPr="009A52F4" w:rsidRDefault="005F7865" w:rsidP="00BD7383">
      <w:pPr>
        <w:pStyle w:val="ConsPlusNonformat"/>
        <w:ind w:left="-993" w:right="-56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2E71" w:rsidRDefault="00CE2E71" w:rsidP="00CE2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CE2E71" w:rsidRDefault="00CE2E71" w:rsidP="00CE2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CE2E71" w:rsidRDefault="00CE2E71" w:rsidP="00CE2E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/>
      </w:r>
    </w:p>
    <w:p w:rsidR="005F7865" w:rsidRDefault="005F7865" w:rsidP="008C4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E2E71" w:rsidRPr="009A52F4" w:rsidRDefault="00CE2E71" w:rsidP="00CE2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sectPr w:rsidR="00CE2E71" w:rsidRPr="009A52F4" w:rsidSect="003B319C">
      <w:pgSz w:w="11906" w:h="16838"/>
      <w:pgMar w:top="284" w:right="567" w:bottom="567" w:left="1134" w:header="709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879E0" w:rsidRDefault="00D879E0" w:rsidP="00245505">
      <w:pPr>
        <w:spacing w:after="0" w:line="240" w:lineRule="auto"/>
      </w:pPr>
      <w:r>
        <w:separator/>
      </w:r>
    </w:p>
  </w:endnote>
  <w:endnote w:type="continuationSeparator" w:id="0">
    <w:p w:rsidR="00D879E0" w:rsidRDefault="00D879E0" w:rsidP="00245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879E0" w:rsidRDefault="00D879E0" w:rsidP="00245505">
      <w:pPr>
        <w:spacing w:after="0" w:line="240" w:lineRule="auto"/>
      </w:pPr>
      <w:r>
        <w:separator/>
      </w:r>
    </w:p>
  </w:footnote>
  <w:footnote w:type="continuationSeparator" w:id="0">
    <w:p w:rsidR="00D879E0" w:rsidRDefault="00D879E0" w:rsidP="00245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67CAC"/>
    <w:multiLevelType w:val="multilevel"/>
    <w:tmpl w:val="CEEAA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4771AC"/>
    <w:multiLevelType w:val="hybridMultilevel"/>
    <w:tmpl w:val="2D7E9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27CDD"/>
    <w:multiLevelType w:val="hybridMultilevel"/>
    <w:tmpl w:val="4790C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4B57C3"/>
    <w:multiLevelType w:val="multilevel"/>
    <w:tmpl w:val="823E1FD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CC53FE4"/>
    <w:multiLevelType w:val="multilevel"/>
    <w:tmpl w:val="9C4C78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6317439D"/>
    <w:multiLevelType w:val="hybridMultilevel"/>
    <w:tmpl w:val="2D7E9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4D75E3"/>
    <w:multiLevelType w:val="hybridMultilevel"/>
    <w:tmpl w:val="E1564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258474">
    <w:abstractNumId w:val="0"/>
  </w:num>
  <w:num w:numId="2" w16cid:durableId="2101756496">
    <w:abstractNumId w:val="3"/>
  </w:num>
  <w:num w:numId="3" w16cid:durableId="699206425">
    <w:abstractNumId w:val="4"/>
  </w:num>
  <w:num w:numId="4" w16cid:durableId="408700299">
    <w:abstractNumId w:val="1"/>
  </w:num>
  <w:num w:numId="5" w16cid:durableId="2113238762">
    <w:abstractNumId w:val="5"/>
  </w:num>
  <w:num w:numId="6" w16cid:durableId="560095996">
    <w:abstractNumId w:val="2"/>
  </w:num>
  <w:num w:numId="7" w16cid:durableId="1818202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865"/>
    <w:rsid w:val="0000010B"/>
    <w:rsid w:val="00010E35"/>
    <w:rsid w:val="00043EF5"/>
    <w:rsid w:val="00045F28"/>
    <w:rsid w:val="001027CC"/>
    <w:rsid w:val="001226F2"/>
    <w:rsid w:val="00130220"/>
    <w:rsid w:val="00142E54"/>
    <w:rsid w:val="00156871"/>
    <w:rsid w:val="00160381"/>
    <w:rsid w:val="001937A9"/>
    <w:rsid w:val="001C4EEC"/>
    <w:rsid w:val="001D3429"/>
    <w:rsid w:val="001E364D"/>
    <w:rsid w:val="00203AA9"/>
    <w:rsid w:val="00207150"/>
    <w:rsid w:val="00210964"/>
    <w:rsid w:val="00245505"/>
    <w:rsid w:val="00246D5A"/>
    <w:rsid w:val="002512F1"/>
    <w:rsid w:val="00260CA9"/>
    <w:rsid w:val="0026538E"/>
    <w:rsid w:val="002B1B6A"/>
    <w:rsid w:val="002F2E2D"/>
    <w:rsid w:val="00327972"/>
    <w:rsid w:val="0033171A"/>
    <w:rsid w:val="003744D7"/>
    <w:rsid w:val="003B319C"/>
    <w:rsid w:val="00410707"/>
    <w:rsid w:val="00435614"/>
    <w:rsid w:val="00451903"/>
    <w:rsid w:val="004A6C21"/>
    <w:rsid w:val="004C6B9A"/>
    <w:rsid w:val="004E6E05"/>
    <w:rsid w:val="005018F0"/>
    <w:rsid w:val="0055706A"/>
    <w:rsid w:val="00594209"/>
    <w:rsid w:val="005F7865"/>
    <w:rsid w:val="006706D9"/>
    <w:rsid w:val="00675C14"/>
    <w:rsid w:val="006B466D"/>
    <w:rsid w:val="006F0230"/>
    <w:rsid w:val="007644D1"/>
    <w:rsid w:val="00783AF9"/>
    <w:rsid w:val="007C6FC3"/>
    <w:rsid w:val="008205AE"/>
    <w:rsid w:val="00883F92"/>
    <w:rsid w:val="008C404A"/>
    <w:rsid w:val="00917706"/>
    <w:rsid w:val="0096565C"/>
    <w:rsid w:val="00970AB3"/>
    <w:rsid w:val="00990EFD"/>
    <w:rsid w:val="009A06D6"/>
    <w:rsid w:val="009A52F4"/>
    <w:rsid w:val="009B1583"/>
    <w:rsid w:val="00A357A5"/>
    <w:rsid w:val="00A50138"/>
    <w:rsid w:val="00B165DA"/>
    <w:rsid w:val="00B63490"/>
    <w:rsid w:val="00B976DF"/>
    <w:rsid w:val="00B97D04"/>
    <w:rsid w:val="00BC74D7"/>
    <w:rsid w:val="00BD0FB4"/>
    <w:rsid w:val="00BD3730"/>
    <w:rsid w:val="00BD7383"/>
    <w:rsid w:val="00C00241"/>
    <w:rsid w:val="00C42151"/>
    <w:rsid w:val="00C65CFE"/>
    <w:rsid w:val="00C87AAC"/>
    <w:rsid w:val="00CB2307"/>
    <w:rsid w:val="00CE2E71"/>
    <w:rsid w:val="00D35E3C"/>
    <w:rsid w:val="00D710B7"/>
    <w:rsid w:val="00D879E0"/>
    <w:rsid w:val="00DB2E0B"/>
    <w:rsid w:val="00DC2870"/>
    <w:rsid w:val="00DE2B39"/>
    <w:rsid w:val="00DF3BEF"/>
    <w:rsid w:val="00DF53EF"/>
    <w:rsid w:val="00E00796"/>
    <w:rsid w:val="00E04B91"/>
    <w:rsid w:val="00E21581"/>
    <w:rsid w:val="00E60657"/>
    <w:rsid w:val="00EF7253"/>
    <w:rsid w:val="00F16FA5"/>
    <w:rsid w:val="00F46D55"/>
    <w:rsid w:val="00F76825"/>
    <w:rsid w:val="00FC60D5"/>
    <w:rsid w:val="00FE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BB555"/>
  <w15:docId w15:val="{9B08ADE7-E860-4C72-A56A-966229B0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44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5F786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F7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F7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7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ktexleft">
    <w:name w:val="dktexleft"/>
    <w:basedOn w:val="a"/>
    <w:rsid w:val="005F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F7865"/>
    <w:rPr>
      <w:color w:val="0000FF"/>
      <w:u w:val="single"/>
    </w:rPr>
  </w:style>
  <w:style w:type="paragraph" w:customStyle="1" w:styleId="dktexjustify">
    <w:name w:val="dktexjustify"/>
    <w:basedOn w:val="a"/>
    <w:rsid w:val="005F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F7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5F7865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PlusCell">
    <w:name w:val="ConsPlusCell"/>
    <w:rsid w:val="005F7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0010B"/>
    <w:pPr>
      <w:ind w:left="720"/>
      <w:contextualSpacing/>
    </w:pPr>
  </w:style>
  <w:style w:type="table" w:styleId="a6">
    <w:name w:val="Table Grid"/>
    <w:basedOn w:val="a1"/>
    <w:uiPriority w:val="59"/>
    <w:rsid w:val="00331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20715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A52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A52F4"/>
    <w:rPr>
      <w:rFonts w:ascii="Arial" w:eastAsia="Calibri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C6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60D5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DB2E0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DB2E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644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itle"/>
    <w:basedOn w:val="a"/>
    <w:link w:val="ac"/>
    <w:qFormat/>
    <w:rsid w:val="007644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customStyle="1" w:styleId="ac">
    <w:name w:val="Заголовок Знак"/>
    <w:basedOn w:val="a0"/>
    <w:link w:val="ab"/>
    <w:rsid w:val="007644D1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d">
    <w:name w:val="header"/>
    <w:basedOn w:val="a"/>
    <w:link w:val="ae"/>
    <w:uiPriority w:val="99"/>
    <w:unhideWhenUsed/>
    <w:rsid w:val="00245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45505"/>
  </w:style>
  <w:style w:type="paragraph" w:styleId="af">
    <w:name w:val="footer"/>
    <w:basedOn w:val="a"/>
    <w:link w:val="af0"/>
    <w:uiPriority w:val="99"/>
    <w:unhideWhenUsed/>
    <w:rsid w:val="00245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45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35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</dc:creator>
  <cp:lastModifiedBy>Buhgalter</cp:lastModifiedBy>
  <cp:revision>28</cp:revision>
  <cp:lastPrinted>2019-11-13T12:03:00Z</cp:lastPrinted>
  <dcterms:created xsi:type="dcterms:W3CDTF">2018-10-10T07:48:00Z</dcterms:created>
  <dcterms:modified xsi:type="dcterms:W3CDTF">2023-11-13T09:57:00Z</dcterms:modified>
</cp:coreProperties>
</file>