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b/>
          <w:bCs/>
          <w:color w:val="000000"/>
          <w:sz w:val="28"/>
          <w:szCs w:val="28"/>
        </w:rPr>
        <w:t>Методические рекомендации</w:t>
      </w:r>
    </w:p>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b/>
          <w:bCs/>
          <w:color w:val="000000"/>
          <w:sz w:val="28"/>
          <w:szCs w:val="28"/>
        </w:rPr>
        <w:t>по разработке и принятию организациями мер</w:t>
      </w:r>
    </w:p>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b/>
          <w:bCs/>
          <w:color w:val="000000"/>
          <w:sz w:val="28"/>
          <w:szCs w:val="28"/>
        </w:rPr>
        <w:t>по предупреждению и противодействию коррупции</w:t>
      </w:r>
    </w:p>
    <w:p w:rsidR="00A80C35" w:rsidRPr="00A80C35" w:rsidRDefault="00A80C35" w:rsidP="00A80C35">
      <w:pPr>
        <w:spacing w:after="224" w:line="240" w:lineRule="auto"/>
        <w:jc w:val="center"/>
        <w:rPr>
          <w:rFonts w:ascii="Arial" w:eastAsia="Times New Roman" w:hAnsi="Arial" w:cs="Arial"/>
          <w:color w:val="000000"/>
          <w:sz w:val="28"/>
          <w:szCs w:val="28"/>
        </w:rPr>
      </w:pPr>
    </w:p>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color w:val="000000"/>
          <w:sz w:val="28"/>
          <w:szCs w:val="28"/>
        </w:rPr>
        <w:t>Москва</w:t>
      </w:r>
    </w:p>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color w:val="000000"/>
          <w:sz w:val="28"/>
          <w:szCs w:val="28"/>
        </w:rPr>
        <w:t>2014</w:t>
      </w:r>
    </w:p>
    <w:p w:rsidR="00A80C35" w:rsidRPr="00A80C35" w:rsidRDefault="00A80C35" w:rsidP="00A80C35">
      <w:pPr>
        <w:spacing w:after="224" w:line="240" w:lineRule="auto"/>
        <w:jc w:val="center"/>
        <w:rPr>
          <w:rFonts w:ascii="Arial" w:eastAsia="Times New Roman" w:hAnsi="Arial" w:cs="Arial"/>
          <w:color w:val="000000"/>
          <w:sz w:val="28"/>
          <w:szCs w:val="28"/>
        </w:rPr>
      </w:pPr>
      <w:r w:rsidRPr="00A80C35">
        <w:rPr>
          <w:rFonts w:ascii="Arial" w:eastAsia="Times New Roman" w:hAnsi="Arial" w:cs="Arial"/>
          <w:b/>
          <w:bCs/>
          <w:color w:val="000000"/>
          <w:sz w:val="28"/>
          <w:szCs w:val="28"/>
        </w:rPr>
        <w:t>Содержание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t> </w:t>
      </w:r>
    </w:p>
    <w:tbl>
      <w:tblPr>
        <w:tblW w:w="10200" w:type="dxa"/>
        <w:shd w:val="clear" w:color="auto" w:fill="FBF8EE"/>
        <w:tblCellMar>
          <w:top w:w="15" w:type="dxa"/>
          <w:left w:w="15" w:type="dxa"/>
          <w:bottom w:w="15" w:type="dxa"/>
          <w:right w:w="15" w:type="dxa"/>
        </w:tblCellMar>
        <w:tblLook w:val="04A0"/>
      </w:tblPr>
      <w:tblGrid>
        <w:gridCol w:w="693"/>
        <w:gridCol w:w="8946"/>
        <w:gridCol w:w="561"/>
      </w:tblGrid>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I.</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3</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1. Цели и задачи Методических рекомендаций……………………………</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3</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2. Термины и определения…………………………………………………...</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3</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3. Круг субъектов, для которых разработаны Методические рекомендации…………………………………………………………...…….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II.</w:t>
            </w:r>
          </w:p>
        </w:tc>
        <w:tc>
          <w:tcPr>
            <w:tcW w:w="8925" w:type="dxa"/>
            <w:shd w:val="clear" w:color="auto" w:fill="FBF8EE"/>
            <w:vAlign w:val="center"/>
            <w:hideMark/>
          </w:tcPr>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r w:rsidRPr="00A80C35">
              <w:rPr>
                <w:rFonts w:ascii="Arial" w:eastAsia="Times New Roman" w:hAnsi="Arial" w:cs="Arial"/>
                <w:color w:val="000000"/>
                <w:kern w:val="36"/>
                <w:sz w:val="28"/>
                <w:szCs w:val="28"/>
              </w:rPr>
              <w:t>Нормативное правовое обеспечение………………………………………..</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5</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1. Российское законодательство в сфере предупреждения и противодействия коррупции…………………………………………….......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5</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2. Зарубежное законодательство…………………………………………….</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8</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III.</w:t>
            </w:r>
          </w:p>
        </w:tc>
        <w:tc>
          <w:tcPr>
            <w:tcW w:w="8925" w:type="dxa"/>
            <w:shd w:val="clear" w:color="auto" w:fill="FBF8EE"/>
            <w:vAlign w:val="center"/>
            <w:hideMark/>
          </w:tcPr>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r w:rsidRPr="00A80C35">
              <w:rPr>
                <w:rFonts w:ascii="Arial" w:eastAsia="Times New Roman" w:hAnsi="Arial" w:cs="Arial"/>
                <w:color w:val="000000"/>
                <w:kern w:val="36"/>
                <w:sz w:val="28"/>
                <w:szCs w:val="28"/>
              </w:rPr>
              <w:t>Основные принципы противодействия коррупции в организации……….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9</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IV.</w:t>
            </w:r>
          </w:p>
        </w:tc>
        <w:tc>
          <w:tcPr>
            <w:tcW w:w="8925" w:type="dxa"/>
            <w:shd w:val="clear" w:color="auto" w:fill="FBF8EE"/>
            <w:vAlign w:val="center"/>
            <w:hideMark/>
          </w:tcPr>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r w:rsidRPr="00A80C35">
              <w:rPr>
                <w:rFonts w:ascii="Arial" w:eastAsia="Times New Roman" w:hAnsi="Arial" w:cs="Arial"/>
                <w:color w:val="000000"/>
                <w:kern w:val="36"/>
                <w:sz w:val="28"/>
                <w:szCs w:val="28"/>
              </w:rPr>
              <w:t>Антикоррупционная политика организации……………………………….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10</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1. Общие подходы к разработке и реализации антикоррупционной политики………………………………………………………………………  </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10</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2. Определение подразделений или должностных лиц, ответственных за противодействие </w:t>
            </w:r>
            <w:r w:rsidRPr="00A80C35">
              <w:rPr>
                <w:rFonts w:ascii="Arial" w:eastAsia="Times New Roman" w:hAnsi="Arial" w:cs="Arial"/>
                <w:color w:val="000000"/>
                <w:sz w:val="28"/>
                <w:szCs w:val="28"/>
              </w:rPr>
              <w:lastRenderedPageBreak/>
              <w:t>коррупции………………………………………………...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17</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3. Оценка коррупционных рисков………………………………………….</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18</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4. Выявление и урегулирование конфликта интересов……………………</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21</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5. Разработка и внедрение в практику стандартов и процедур, направленных на обеспечение добросовестной работы организации……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37</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6. Консультирование и обучение работников организации……………….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39</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7. Внутренний контроль и аудит…………………………………………….</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40</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8. Принятие мер по предупреждению коррупции при взаимодействии с организациями-контрагентами и в зависимых организациях……………..</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41</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9. Взаимодействие с государственными органами, осуществляющими контрольно-надзорные функции…………………………………………….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10. Сотрудничество с правоохранительными органами в сфере противодействия коррупции…………………………………………….......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42</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45</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outlineLvl w:val="1"/>
              <w:rPr>
                <w:rFonts w:ascii="Arial" w:eastAsia="Times New Roman" w:hAnsi="Arial" w:cs="Arial"/>
                <w:color w:val="000000"/>
                <w:sz w:val="28"/>
                <w:szCs w:val="28"/>
              </w:rPr>
            </w:pPr>
            <w:r w:rsidRPr="00A80C35">
              <w:rPr>
                <w:rFonts w:ascii="Arial" w:eastAsia="Times New Roman" w:hAnsi="Arial" w:cs="Arial"/>
                <w:color w:val="000000"/>
                <w:sz w:val="28"/>
                <w:szCs w:val="28"/>
              </w:rPr>
              <w:t>11. Участие в коллективных инициативах по противодействию коррупции…………………………………………………………………….</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46</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48</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68</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Приложение 3. Нормативные правовые акты зарубежных государств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по вопросам противодействия коррупции, имеющие </w:t>
            </w:r>
            <w:r w:rsidRPr="00A80C35">
              <w:rPr>
                <w:rFonts w:ascii="Arial" w:eastAsia="Times New Roman" w:hAnsi="Arial" w:cs="Arial"/>
                <w:color w:val="000000"/>
                <w:sz w:val="28"/>
                <w:szCs w:val="28"/>
              </w:rPr>
              <w:lastRenderedPageBreak/>
              <w:t>экстерриториальное действие……………………………………………….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Приложение 4. Обзор типовых ситуаций конфликта интересов …………</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76</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82</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Приложение 5. Типовая декларация конфликта интересов……………….</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86</w:t>
            </w:r>
          </w:p>
        </w:tc>
      </w:tr>
      <w:tr w:rsidR="00A80C35" w:rsidRPr="00A80C35" w:rsidTr="00A80C35">
        <w:tc>
          <w:tcPr>
            <w:tcW w:w="70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c>
        <w:tc>
          <w:tcPr>
            <w:tcW w:w="8925"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Приложение 6. Антикоррупционная хартия российского бизнеса………</w:t>
            </w:r>
          </w:p>
        </w:tc>
        <w:tc>
          <w:tcPr>
            <w:tcW w:w="57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92</w:t>
            </w:r>
          </w:p>
        </w:tc>
      </w:tr>
    </w:tbl>
    <w:p w:rsidR="00A80C35" w:rsidRPr="00A80C35" w:rsidRDefault="00A80C35" w:rsidP="00A80C35">
      <w:pPr>
        <w:spacing w:after="224" w:line="240" w:lineRule="auto"/>
        <w:jc w:val="both"/>
        <w:rPr>
          <w:rFonts w:ascii="Arial" w:eastAsia="Times New Roman" w:hAnsi="Arial" w:cs="Arial"/>
          <w:color w:val="000000"/>
          <w:sz w:val="28"/>
          <w:szCs w:val="28"/>
        </w:rPr>
      </w:pPr>
    </w:p>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bookmarkStart w:id="0" w:name="_Toc369706623"/>
      <w:bookmarkEnd w:id="0"/>
      <w:r w:rsidRPr="00A80C35">
        <w:rPr>
          <w:rFonts w:ascii="Arial" w:eastAsia="Times New Roman" w:hAnsi="Arial" w:cs="Arial"/>
          <w:color w:val="000000"/>
          <w:kern w:val="36"/>
          <w:sz w:val="28"/>
          <w:szCs w:val="28"/>
        </w:rPr>
        <w:t>I.    Введение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 w:name="_Toc369706624"/>
      <w:bookmarkEnd w:id="1"/>
      <w:r w:rsidRPr="00A80C35">
        <w:rPr>
          <w:rFonts w:ascii="Arial" w:eastAsia="Times New Roman" w:hAnsi="Arial" w:cs="Arial"/>
          <w:color w:val="000000"/>
          <w:sz w:val="28"/>
          <w:szCs w:val="28"/>
        </w:rPr>
        <w:t>1. Цели и задачи Методических рекомендаций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Задачами Методических рекомендаций являются:</w:t>
      </w:r>
    </w:p>
    <w:p w:rsidR="00A80C35" w:rsidRPr="00A80C35" w:rsidRDefault="00A80C35" w:rsidP="00A80C35">
      <w:pPr>
        <w:numPr>
          <w:ilvl w:val="0"/>
          <w:numId w:val="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A80C35" w:rsidRPr="00A80C35" w:rsidRDefault="00A80C35" w:rsidP="00A80C35">
      <w:pPr>
        <w:numPr>
          <w:ilvl w:val="0"/>
          <w:numId w:val="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основных принципов противодействия коррупции в организациях;</w:t>
      </w:r>
    </w:p>
    <w:p w:rsidR="00A80C35" w:rsidRPr="00A80C35" w:rsidRDefault="00A80C35" w:rsidP="00A80C35">
      <w:pPr>
        <w:numPr>
          <w:ilvl w:val="0"/>
          <w:numId w:val="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2" w:name="_Toc369706625"/>
      <w:bookmarkEnd w:id="2"/>
      <w:r w:rsidRPr="00A80C35">
        <w:rPr>
          <w:rFonts w:ascii="Arial" w:eastAsia="Times New Roman" w:hAnsi="Arial" w:cs="Arial"/>
          <w:color w:val="000000"/>
          <w:sz w:val="28"/>
          <w:szCs w:val="28"/>
        </w:rPr>
        <w:t>2. Термины и определения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lastRenderedPageBreak/>
        <w:t>Коррупция</w:t>
      </w:r>
      <w:r w:rsidRPr="00A80C35">
        <w:rPr>
          <w:rFonts w:ascii="Arial" w:eastAsia="Times New Roman" w:hAnsi="Arial" w:cs="Arial"/>
          <w:color w:val="000000"/>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Противодействие коррупции</w:t>
      </w:r>
      <w:r w:rsidRPr="00A80C35">
        <w:rPr>
          <w:rFonts w:ascii="Arial" w:eastAsia="Times New Roman" w:hAnsi="Arial" w:cs="Arial"/>
          <w:color w:val="000000"/>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по минимизации и (или) ликвидации последствий коррупционных правонарушений.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Предупреждение коррупции</w:t>
      </w:r>
      <w:r w:rsidRPr="00A80C35">
        <w:rPr>
          <w:rFonts w:ascii="Arial" w:eastAsia="Times New Roman" w:hAnsi="Arial" w:cs="Arial"/>
          <w:color w:val="000000"/>
          <w:sz w:val="28"/>
          <w:szCs w:val="28"/>
        </w:rPr>
        <w:t>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Организация</w:t>
      </w:r>
      <w:r w:rsidRPr="00A80C35">
        <w:rPr>
          <w:rFonts w:ascii="Arial" w:eastAsia="Times New Roman" w:hAnsi="Arial" w:cs="Arial"/>
          <w:color w:val="000000"/>
          <w:sz w:val="28"/>
          <w:szCs w:val="28"/>
        </w:rPr>
        <w:t> – юридическое лицо независимо от формы собственности, организационно-правовой формы и отраслевой принадлежности.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Контрагент</w:t>
      </w:r>
      <w:r w:rsidRPr="00A80C35">
        <w:rPr>
          <w:rFonts w:ascii="Arial" w:eastAsia="Times New Roman" w:hAnsi="Arial" w:cs="Arial"/>
          <w:color w:val="000000"/>
          <w:sz w:val="28"/>
          <w:szCs w:val="28"/>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Взятка</w:t>
      </w:r>
      <w:r w:rsidRPr="00A80C35">
        <w:rPr>
          <w:rFonts w:ascii="Arial" w:eastAsia="Times New Roman" w:hAnsi="Arial" w:cs="Arial"/>
          <w:color w:val="000000"/>
          <w:sz w:val="28"/>
          <w:szCs w:val="28"/>
        </w:rPr>
        <w:t xml:space="preserve"> – получение должностным лицом, иностранным должностным лицом либо должностным лицом публичной международной </w:t>
      </w:r>
      <w:r w:rsidRPr="00A80C35">
        <w:rPr>
          <w:rFonts w:ascii="Arial" w:eastAsia="Times New Roman" w:hAnsi="Arial" w:cs="Arial"/>
          <w:color w:val="000000"/>
          <w:sz w:val="28"/>
          <w:szCs w:val="28"/>
        </w:rPr>
        <w:lastRenderedPageBreak/>
        <w:t>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Коммерческий подкуп</w:t>
      </w:r>
      <w:r w:rsidRPr="00A80C35">
        <w:rPr>
          <w:rFonts w:ascii="Arial" w:eastAsia="Times New Roman" w:hAnsi="Arial" w:cs="Arial"/>
          <w:color w:val="000000"/>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Комплаенс</w:t>
      </w:r>
      <w:r w:rsidRPr="00A80C35">
        <w:rPr>
          <w:rFonts w:ascii="Arial" w:eastAsia="Times New Roman" w:hAnsi="Arial" w:cs="Arial"/>
          <w:color w:val="000000"/>
          <w:sz w:val="28"/>
          <w:szCs w:val="28"/>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3" w:name="_Toc369706626"/>
      <w:bookmarkEnd w:id="3"/>
      <w:r w:rsidRPr="00A80C35">
        <w:rPr>
          <w:rFonts w:ascii="Arial" w:eastAsia="Times New Roman" w:hAnsi="Arial" w:cs="Arial"/>
          <w:color w:val="000000"/>
          <w:sz w:val="28"/>
          <w:szCs w:val="28"/>
        </w:rPr>
        <w:t>3. Круг субъектов, для которых разработаны Методические рекомендации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В организации Методические рекомендации могут быть использованы широким кругом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Руководство организации может использовать Методические рекомендации в целях:</w:t>
      </w:r>
    </w:p>
    <w:p w:rsidR="00A80C35" w:rsidRPr="00A80C35" w:rsidRDefault="00A80C35" w:rsidP="00A80C35">
      <w:pPr>
        <w:numPr>
          <w:ilvl w:val="0"/>
          <w:numId w:val="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A80C35" w:rsidRPr="00A80C35" w:rsidRDefault="00A80C35" w:rsidP="00A80C35">
      <w:pPr>
        <w:numPr>
          <w:ilvl w:val="0"/>
          <w:numId w:val="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A80C35" w:rsidRPr="00A80C35" w:rsidRDefault="00A80C35" w:rsidP="00A80C35">
      <w:pPr>
        <w:numPr>
          <w:ilvl w:val="0"/>
          <w:numId w:val="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разработки основ антикоррупционной политики в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A80C35" w:rsidRPr="00A80C35" w:rsidRDefault="00A80C35" w:rsidP="00A80C35">
      <w:pPr>
        <w:numPr>
          <w:ilvl w:val="0"/>
          <w:numId w:val="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Работники организации могут использовать Методические рекомендации в целях получения сведений:</w:t>
      </w:r>
    </w:p>
    <w:p w:rsidR="00A80C35" w:rsidRPr="00A80C35" w:rsidRDefault="00A80C35" w:rsidP="00A80C35">
      <w:pPr>
        <w:numPr>
          <w:ilvl w:val="0"/>
          <w:numId w:val="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 нормативно-правовом регулировании в сфере противодействия коррупции и ответственности за совершение коррупционных правонарушений;</w:t>
      </w:r>
    </w:p>
    <w:p w:rsidR="00A80C35" w:rsidRPr="00A80C35" w:rsidRDefault="00A80C35" w:rsidP="00A80C35">
      <w:pPr>
        <w:numPr>
          <w:ilvl w:val="0"/>
          <w:numId w:val="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 обязанностях, которые могут быть возложены на работников организации в связи с реализацией антикоррупционных мер.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bookmarkStart w:id="4" w:name="_Toc369706627"/>
      <w:bookmarkEnd w:id="4"/>
      <w:r w:rsidRPr="00A80C35">
        <w:rPr>
          <w:rFonts w:ascii="Arial" w:eastAsia="Times New Roman" w:hAnsi="Arial" w:cs="Arial"/>
          <w:color w:val="000000"/>
          <w:kern w:val="36"/>
          <w:sz w:val="28"/>
          <w:szCs w:val="28"/>
        </w:rPr>
        <w:t>II.              Нормативное правовое обеспечение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5" w:name="_Toc369706628"/>
      <w:bookmarkEnd w:id="5"/>
      <w:r w:rsidRPr="00A80C35">
        <w:rPr>
          <w:rFonts w:ascii="Arial" w:eastAsia="Times New Roman" w:hAnsi="Arial" w:cs="Arial"/>
          <w:color w:val="000000"/>
          <w:sz w:val="28"/>
          <w:szCs w:val="28"/>
        </w:rPr>
        <w:t>1. Российское законодательство в сфере предупреждения и противодействия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1.1. Обязанность организаций принимать меры по предупреждению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«О противодействии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Частью 1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1.2. Ответственность юридических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Общие нормы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Незаконное вознаграждение от имени юридического лица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w:t>
      </w:r>
      <w:r w:rsidRPr="00A80C35">
        <w:rPr>
          <w:rFonts w:ascii="Arial" w:eastAsia="Times New Roman" w:hAnsi="Arial" w:cs="Arial"/>
          <w:color w:val="000000"/>
          <w:sz w:val="28"/>
          <w:szCs w:val="28"/>
        </w:rPr>
        <w:lastRenderedPageBreak/>
        <w:t>служебным положением, влечет наложение на юридическое лицо административного штрафа).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Незаконное привлечение к трудовой деятельности бывшего государственного (муниципального) служащего</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Названные требования, исходя из положений </w:t>
      </w:r>
      <w:hyperlink r:id="rId5" w:history="1">
        <w:r w:rsidRPr="00A80C35">
          <w:rPr>
            <w:rFonts w:ascii="Arial" w:eastAsia="Times New Roman" w:hAnsi="Arial" w:cs="Arial"/>
            <w:color w:val="00923F"/>
            <w:sz w:val="28"/>
            <w:szCs w:val="28"/>
          </w:rPr>
          <w:t>пункта 1</w:t>
        </w:r>
      </w:hyperlink>
      <w:r w:rsidRPr="00A80C35">
        <w:rPr>
          <w:rFonts w:ascii="Arial" w:eastAsia="Times New Roman" w:hAnsi="Arial" w:cs="Arial"/>
          <w:color w:val="000000"/>
          <w:sz w:val="28"/>
          <w:szCs w:val="28"/>
        </w:rPr>
        <w:t>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6" w:history="1">
        <w:r w:rsidRPr="00A80C35">
          <w:rPr>
            <w:rFonts w:ascii="Arial" w:eastAsia="Times New Roman" w:hAnsi="Arial" w:cs="Arial"/>
            <w:color w:val="00923F"/>
            <w:sz w:val="28"/>
            <w:szCs w:val="28"/>
          </w:rPr>
          <w:t>раздел I</w:t>
        </w:r>
      </w:hyperlink>
      <w:r w:rsidRPr="00A80C35">
        <w:rPr>
          <w:rFonts w:ascii="Arial" w:eastAsia="Times New Roman" w:hAnsi="Arial" w:cs="Arial"/>
          <w:color w:val="000000"/>
          <w:sz w:val="28"/>
          <w:szCs w:val="28"/>
        </w:rPr>
        <w:t> или </w:t>
      </w:r>
      <w:hyperlink r:id="rId7" w:history="1">
        <w:r w:rsidRPr="00A80C35">
          <w:rPr>
            <w:rFonts w:ascii="Arial" w:eastAsia="Times New Roman" w:hAnsi="Arial" w:cs="Arial"/>
            <w:color w:val="00923F"/>
            <w:sz w:val="28"/>
            <w:szCs w:val="28"/>
          </w:rPr>
          <w:t>раздел II</w:t>
        </w:r>
      </w:hyperlink>
      <w:r w:rsidRPr="00A80C35">
        <w:rPr>
          <w:rFonts w:ascii="Arial" w:eastAsia="Times New Roman" w:hAnsi="Arial" w:cs="Arial"/>
          <w:color w:val="000000"/>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w:t>
      </w:r>
      <w:r w:rsidRPr="00A80C35">
        <w:rPr>
          <w:rFonts w:ascii="Arial" w:eastAsia="Times New Roman" w:hAnsi="Arial" w:cs="Arial"/>
          <w:color w:val="000000"/>
          <w:sz w:val="28"/>
          <w:szCs w:val="28"/>
        </w:rPr>
        <w:lastRenderedPageBreak/>
        <w:t>государственного органа в соответствии с </w:t>
      </w:r>
      <w:hyperlink r:id="rId8" w:history="1">
        <w:r w:rsidRPr="00A80C35">
          <w:rPr>
            <w:rFonts w:ascii="Arial" w:eastAsia="Times New Roman" w:hAnsi="Arial" w:cs="Arial"/>
            <w:color w:val="00923F"/>
            <w:sz w:val="28"/>
            <w:szCs w:val="28"/>
          </w:rPr>
          <w:t>разделом III</w:t>
        </w:r>
      </w:hyperlink>
      <w:r w:rsidRPr="00A80C35">
        <w:rPr>
          <w:rFonts w:ascii="Arial" w:eastAsia="Times New Roman" w:hAnsi="Arial" w:cs="Arial"/>
          <w:color w:val="000000"/>
          <w:sz w:val="28"/>
          <w:szCs w:val="28"/>
        </w:rPr>
        <w:t>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9" w:history="1">
        <w:r w:rsidRPr="00A80C35">
          <w:rPr>
            <w:rFonts w:ascii="Arial" w:eastAsia="Times New Roman" w:hAnsi="Arial" w:cs="Arial"/>
            <w:color w:val="00923F"/>
            <w:sz w:val="28"/>
            <w:szCs w:val="28"/>
          </w:rPr>
          <w:t>пункт 4</w:t>
        </w:r>
      </w:hyperlink>
      <w:r w:rsidRPr="00A80C35">
        <w:rPr>
          <w:rFonts w:ascii="Arial" w:eastAsia="Times New Roman" w:hAnsi="Arial" w:cs="Arial"/>
          <w:color w:val="000000"/>
          <w:sz w:val="28"/>
          <w:szCs w:val="28"/>
        </w:rPr>
        <w:t> Указа Президента Российской Федерации от 21 июля 2010 г. № 925).</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КоАП РФ ответственность в виде административного штрафа.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1.3. Ответственность физических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Ответственность физических лиц за коррупционные правонарушения установлена статьей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Тем не менее, в Трудовом кодексе Российской Федерации</w:t>
      </w:r>
      <w:r w:rsidRPr="00A80C35">
        <w:rPr>
          <w:rFonts w:ascii="Arial" w:eastAsia="Times New Roman" w:hAnsi="Arial" w:cs="Arial"/>
          <w:color w:val="000000"/>
          <w:sz w:val="28"/>
          <w:szCs w:val="28"/>
        </w:rPr>
        <w:br/>
        <w:t>(далее – ТК РФ) существует возможность привлечения работника организации к дисциплинарной ответственности.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Так, согласно статье 192 ТК РФ к дисциплинарным взысканиям, в частности, относится увольнение работника по основаниям, предусмотренным </w:t>
      </w:r>
      <w:hyperlink r:id="rId10" w:anchor="Par1359" w:history="1">
        <w:r w:rsidRPr="00A80C35">
          <w:rPr>
            <w:rFonts w:ascii="Arial" w:eastAsia="Times New Roman" w:hAnsi="Arial" w:cs="Arial"/>
            <w:color w:val="00923F"/>
            <w:sz w:val="28"/>
            <w:szCs w:val="28"/>
          </w:rPr>
          <w:t>пунктами 5,</w:t>
        </w:r>
      </w:hyperlink>
      <w:r w:rsidRPr="00A80C35">
        <w:rPr>
          <w:rFonts w:ascii="Arial" w:eastAsia="Times New Roman" w:hAnsi="Arial" w:cs="Arial"/>
          <w:color w:val="000000"/>
          <w:sz w:val="28"/>
          <w:szCs w:val="28"/>
        </w:rPr>
        <w:t> </w:t>
      </w:r>
      <w:hyperlink r:id="rId11" w:anchor="Par1360" w:history="1">
        <w:r w:rsidRPr="00A80C35">
          <w:rPr>
            <w:rFonts w:ascii="Arial" w:eastAsia="Times New Roman" w:hAnsi="Arial" w:cs="Arial"/>
            <w:color w:val="00923F"/>
            <w:sz w:val="28"/>
            <w:szCs w:val="28"/>
          </w:rPr>
          <w:t>6,</w:t>
        </w:r>
      </w:hyperlink>
      <w:r w:rsidRPr="00A80C35">
        <w:rPr>
          <w:rFonts w:ascii="Arial" w:eastAsia="Times New Roman" w:hAnsi="Arial" w:cs="Arial"/>
          <w:color w:val="000000"/>
          <w:sz w:val="28"/>
          <w:szCs w:val="28"/>
        </w:rPr>
        <w:t> </w:t>
      </w:r>
      <w:hyperlink r:id="rId12" w:anchor="Par1381" w:history="1">
        <w:r w:rsidRPr="00A80C35">
          <w:rPr>
            <w:rFonts w:ascii="Arial" w:eastAsia="Times New Roman" w:hAnsi="Arial" w:cs="Arial"/>
            <w:color w:val="00923F"/>
            <w:sz w:val="28"/>
            <w:szCs w:val="28"/>
          </w:rPr>
          <w:t>9</w:t>
        </w:r>
      </w:hyperlink>
      <w:r w:rsidRPr="00A80C35">
        <w:rPr>
          <w:rFonts w:ascii="Arial" w:eastAsia="Times New Roman" w:hAnsi="Arial" w:cs="Arial"/>
          <w:color w:val="000000"/>
          <w:sz w:val="28"/>
          <w:szCs w:val="28"/>
        </w:rPr>
        <w:t> или </w:t>
      </w:r>
      <w:hyperlink r:id="rId13" w:anchor="Par1382" w:history="1">
        <w:r w:rsidRPr="00A80C35">
          <w:rPr>
            <w:rFonts w:ascii="Arial" w:eastAsia="Times New Roman" w:hAnsi="Arial" w:cs="Arial"/>
            <w:color w:val="00923F"/>
            <w:sz w:val="28"/>
            <w:szCs w:val="28"/>
          </w:rPr>
          <w:t>10 части первой статьи 81</w:t>
        </w:r>
      </w:hyperlink>
      <w:r w:rsidRPr="00A80C35">
        <w:rPr>
          <w:rFonts w:ascii="Arial" w:eastAsia="Times New Roman" w:hAnsi="Arial" w:cs="Arial"/>
          <w:color w:val="000000"/>
          <w:sz w:val="28"/>
          <w:szCs w:val="28"/>
        </w:rPr>
        <w:t>, </w:t>
      </w:r>
      <w:hyperlink r:id="rId14" w:anchor="Par4971" w:history="1">
        <w:r w:rsidRPr="00A80C35">
          <w:rPr>
            <w:rFonts w:ascii="Arial" w:eastAsia="Times New Roman" w:hAnsi="Arial" w:cs="Arial"/>
            <w:color w:val="00923F"/>
            <w:sz w:val="28"/>
            <w:szCs w:val="28"/>
          </w:rPr>
          <w:t>пунктом 1 статьи 336</w:t>
        </w:r>
      </w:hyperlink>
      <w:r w:rsidRPr="00A80C35">
        <w:rPr>
          <w:rFonts w:ascii="Arial" w:eastAsia="Times New Roman" w:hAnsi="Arial" w:cs="Arial"/>
          <w:color w:val="000000"/>
          <w:sz w:val="28"/>
          <w:szCs w:val="28"/>
        </w:rPr>
        <w:t>, а также </w:t>
      </w:r>
      <w:hyperlink r:id="rId15" w:anchor="Par1376" w:history="1">
        <w:r w:rsidRPr="00A80C35">
          <w:rPr>
            <w:rFonts w:ascii="Arial" w:eastAsia="Times New Roman" w:hAnsi="Arial" w:cs="Arial"/>
            <w:color w:val="00923F"/>
            <w:sz w:val="28"/>
            <w:szCs w:val="28"/>
          </w:rPr>
          <w:t>пунктами 7</w:t>
        </w:r>
      </w:hyperlink>
      <w:r w:rsidRPr="00A80C35">
        <w:rPr>
          <w:rFonts w:ascii="Arial" w:eastAsia="Times New Roman" w:hAnsi="Arial" w:cs="Arial"/>
          <w:color w:val="000000"/>
          <w:sz w:val="28"/>
          <w:szCs w:val="28"/>
        </w:rPr>
        <w:t> или </w:t>
      </w:r>
      <w:hyperlink r:id="rId16" w:anchor="Par1377" w:history="1">
        <w:r w:rsidRPr="00A80C35">
          <w:rPr>
            <w:rFonts w:ascii="Arial" w:eastAsia="Times New Roman" w:hAnsi="Arial" w:cs="Arial"/>
            <w:color w:val="00923F"/>
            <w:sz w:val="28"/>
            <w:szCs w:val="28"/>
          </w:rPr>
          <w:t>7.1</w:t>
        </w:r>
      </w:hyperlink>
      <w:r w:rsidRPr="00A80C35">
        <w:rPr>
          <w:rFonts w:ascii="Arial" w:eastAsia="Times New Roman" w:hAnsi="Arial" w:cs="Arial"/>
          <w:color w:val="000000"/>
          <w:sz w:val="28"/>
          <w:szCs w:val="28"/>
        </w:rPr>
        <w:t> </w:t>
      </w:r>
      <w:hyperlink r:id="rId17" w:anchor="Par1380" w:history="1">
        <w:r w:rsidRPr="00A80C35">
          <w:rPr>
            <w:rFonts w:ascii="Arial" w:eastAsia="Times New Roman" w:hAnsi="Arial" w:cs="Arial"/>
            <w:color w:val="00923F"/>
            <w:sz w:val="28"/>
            <w:szCs w:val="28"/>
          </w:rPr>
          <w:t>части первой статьи 81</w:t>
        </w:r>
      </w:hyperlink>
      <w:r w:rsidRPr="00A80C35">
        <w:rPr>
          <w:rFonts w:ascii="Arial" w:eastAsia="Times New Roman" w:hAnsi="Arial" w:cs="Arial"/>
          <w:color w:val="000000"/>
          <w:sz w:val="28"/>
          <w:szCs w:val="28"/>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A80C35" w:rsidRPr="00A80C35" w:rsidRDefault="00A80C35" w:rsidP="00A80C35">
      <w:pPr>
        <w:numPr>
          <w:ilvl w:val="0"/>
          <w:numId w:val="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однократного грубого нарушения работником трудовых обязанностей, выразившегося в разглашении охраняемой законом тайны </w:t>
      </w:r>
      <w:r w:rsidRPr="00A80C35">
        <w:rPr>
          <w:rFonts w:ascii="Arial" w:eastAsia="Times New Roman" w:hAnsi="Arial" w:cs="Arial"/>
          <w:color w:val="000000"/>
          <w:sz w:val="28"/>
          <w:szCs w:val="28"/>
        </w:rPr>
        <w:lastRenderedPageBreak/>
        <w:t>(государственной,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A80C35" w:rsidRPr="00A80C35" w:rsidRDefault="00A80C35" w:rsidP="00A80C35">
      <w:pPr>
        <w:numPr>
          <w:ilvl w:val="0"/>
          <w:numId w:val="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A80C35" w:rsidRPr="00A80C35" w:rsidRDefault="00A80C35" w:rsidP="00A80C35">
      <w:pPr>
        <w:numPr>
          <w:ilvl w:val="0"/>
          <w:numId w:val="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A80C35" w:rsidRPr="00A80C35" w:rsidRDefault="00A80C35" w:rsidP="00A80C35">
      <w:pPr>
        <w:numPr>
          <w:ilvl w:val="0"/>
          <w:numId w:val="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A80C35" w:rsidRPr="00A80C35" w:rsidRDefault="00A80C35" w:rsidP="00A80C35">
      <w:pPr>
        <w:numPr>
          <w:ilvl w:val="0"/>
          <w:numId w:val="6"/>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Международные соглашения по вопросам противодействия коррупции в коммерческих организациях и зарубежное законодательство</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A80C35" w:rsidRPr="00A80C35" w:rsidRDefault="00A80C35" w:rsidP="00A80C35">
      <w:pPr>
        <w:numPr>
          <w:ilvl w:val="0"/>
          <w:numId w:val="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A80C35" w:rsidRPr="00A80C35" w:rsidRDefault="00A80C35" w:rsidP="00A80C35">
      <w:pPr>
        <w:numPr>
          <w:ilvl w:val="0"/>
          <w:numId w:val="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w:t>
      </w:r>
      <w:r w:rsidRPr="00A80C35">
        <w:rPr>
          <w:rFonts w:ascii="Arial" w:eastAsia="Times New Roman" w:hAnsi="Arial" w:cs="Arial"/>
          <w:color w:val="000000"/>
          <w:sz w:val="28"/>
          <w:szCs w:val="28"/>
        </w:rPr>
        <w:lastRenderedPageBreak/>
        <w:t>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(Foreig№Corrupt Practices Act, 1977 – FCPA) и закона Великобритании «О борьбе со взяточничеством» (UK Bribery Act, 2010).</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bookmarkStart w:id="6" w:name="_Toc369706629"/>
      <w:bookmarkEnd w:id="6"/>
      <w:r w:rsidRPr="00A80C35">
        <w:rPr>
          <w:rFonts w:ascii="Arial" w:eastAsia="Times New Roman" w:hAnsi="Arial" w:cs="Arial"/>
          <w:color w:val="000000"/>
          <w:kern w:val="36"/>
          <w:sz w:val="28"/>
          <w:szCs w:val="28"/>
        </w:rPr>
        <w:t>III.      Основные принципы противодействия коррупции в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При создании системы мер противодействия коррупции в организации рекомендуется основываться на следующих ключевых принципах:</w:t>
      </w:r>
    </w:p>
    <w:p w:rsidR="00A80C35" w:rsidRPr="00A80C35" w:rsidRDefault="00A80C35" w:rsidP="00A80C35">
      <w:pPr>
        <w:numPr>
          <w:ilvl w:val="0"/>
          <w:numId w:val="8"/>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соответствия политики организации действующему законодательству и общепринятым нормам.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80C35" w:rsidRPr="00A80C35" w:rsidRDefault="00A80C35" w:rsidP="00A80C35">
      <w:pPr>
        <w:numPr>
          <w:ilvl w:val="0"/>
          <w:numId w:val="9"/>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личного примера руководства.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80C35" w:rsidRPr="00A80C35" w:rsidRDefault="00A80C35" w:rsidP="00A80C35">
      <w:pPr>
        <w:numPr>
          <w:ilvl w:val="0"/>
          <w:numId w:val="10"/>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вовлеченности работников.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80C35" w:rsidRPr="00A80C35" w:rsidRDefault="00A80C35" w:rsidP="00A80C35">
      <w:pPr>
        <w:numPr>
          <w:ilvl w:val="0"/>
          <w:numId w:val="11"/>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соразмерности антикоррупционных процедур риску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80C35" w:rsidRPr="00A80C35" w:rsidRDefault="00A80C35" w:rsidP="00A80C35">
      <w:pPr>
        <w:numPr>
          <w:ilvl w:val="0"/>
          <w:numId w:val="12"/>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эффективности антикоррупционных процедур.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80C35" w:rsidRPr="00A80C35" w:rsidRDefault="00A80C35" w:rsidP="00A80C35">
      <w:pPr>
        <w:numPr>
          <w:ilvl w:val="0"/>
          <w:numId w:val="13"/>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ответственности и неотвратимости наказания.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A80C35" w:rsidRPr="00A80C35" w:rsidRDefault="00A80C35" w:rsidP="00A80C35">
      <w:pPr>
        <w:numPr>
          <w:ilvl w:val="0"/>
          <w:numId w:val="14"/>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открытости бизнеса.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Информирование контрагентов, партнеров и общественности о принятых в организации антикоррупционных стандартах ведения бизнеса.</w:t>
      </w:r>
    </w:p>
    <w:p w:rsidR="00A80C35" w:rsidRPr="00A80C35" w:rsidRDefault="00A80C35" w:rsidP="00A80C35">
      <w:pPr>
        <w:numPr>
          <w:ilvl w:val="0"/>
          <w:numId w:val="15"/>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Принцип постоянного контроля и регулярного мониторинга.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0"/>
        <w:rPr>
          <w:rFonts w:ascii="Arial" w:eastAsia="Times New Roman" w:hAnsi="Arial" w:cs="Arial"/>
          <w:color w:val="000000"/>
          <w:kern w:val="36"/>
          <w:sz w:val="28"/>
          <w:szCs w:val="28"/>
        </w:rPr>
      </w:pPr>
      <w:bookmarkStart w:id="7" w:name="_Toc369706630"/>
      <w:bookmarkEnd w:id="7"/>
      <w:r w:rsidRPr="00A80C35">
        <w:rPr>
          <w:rFonts w:ascii="Arial" w:eastAsia="Times New Roman" w:hAnsi="Arial" w:cs="Arial"/>
          <w:color w:val="000000"/>
          <w:kern w:val="36"/>
          <w:sz w:val="28"/>
          <w:szCs w:val="28"/>
        </w:rPr>
        <w:t>IV.      Антикоррупционная политика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8" w:name="_Toc369706631"/>
      <w:bookmarkEnd w:id="8"/>
      <w:r w:rsidRPr="00A80C35">
        <w:rPr>
          <w:rFonts w:ascii="Arial" w:eastAsia="Times New Roman" w:hAnsi="Arial" w:cs="Arial"/>
          <w:color w:val="000000"/>
          <w:sz w:val="28"/>
          <w:szCs w:val="28"/>
        </w:rPr>
        <w:t>1. Общие подходы к разработке и реализации антикоррупционной политики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разработке и реализации антикоррупционной политики как документа следует выделить следующие </w:t>
      </w:r>
      <w:r w:rsidRPr="00A80C35">
        <w:rPr>
          <w:rFonts w:ascii="Arial" w:eastAsia="Times New Roman" w:hAnsi="Arial" w:cs="Arial"/>
          <w:b/>
          <w:bCs/>
          <w:i/>
          <w:iCs/>
          <w:color w:val="000000"/>
          <w:sz w:val="28"/>
          <w:szCs w:val="28"/>
        </w:rPr>
        <w:t>этапы</w:t>
      </w:r>
      <w:r w:rsidRPr="00A80C35">
        <w:rPr>
          <w:rFonts w:ascii="Arial" w:eastAsia="Times New Roman" w:hAnsi="Arial" w:cs="Arial"/>
          <w:color w:val="000000"/>
          <w:sz w:val="28"/>
          <w:szCs w:val="28"/>
        </w:rPr>
        <w:t>:</w:t>
      </w:r>
    </w:p>
    <w:p w:rsidR="00A80C35" w:rsidRPr="00A80C35" w:rsidRDefault="00A80C35" w:rsidP="00A80C35">
      <w:pPr>
        <w:numPr>
          <w:ilvl w:val="0"/>
          <w:numId w:val="1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проекта антикоррупционной политики;</w:t>
      </w:r>
    </w:p>
    <w:p w:rsidR="00A80C35" w:rsidRPr="00A80C35" w:rsidRDefault="00A80C35" w:rsidP="00A80C35">
      <w:pPr>
        <w:numPr>
          <w:ilvl w:val="0"/>
          <w:numId w:val="1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согласование проекта и его утверждение;</w:t>
      </w:r>
    </w:p>
    <w:p w:rsidR="00A80C35" w:rsidRPr="00A80C35" w:rsidRDefault="00A80C35" w:rsidP="00A80C35">
      <w:pPr>
        <w:numPr>
          <w:ilvl w:val="0"/>
          <w:numId w:val="1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информирование работников о принятой в организации антикоррупционной политике;</w:t>
      </w:r>
    </w:p>
    <w:p w:rsidR="00A80C35" w:rsidRPr="00A80C35" w:rsidRDefault="00A80C35" w:rsidP="00A80C35">
      <w:pPr>
        <w:numPr>
          <w:ilvl w:val="0"/>
          <w:numId w:val="1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реализация предусмотренных политикой антикоррупционных мер;</w:t>
      </w:r>
    </w:p>
    <w:p w:rsidR="00A80C35" w:rsidRPr="00A80C35" w:rsidRDefault="00A80C35" w:rsidP="00A80C35">
      <w:pPr>
        <w:numPr>
          <w:ilvl w:val="0"/>
          <w:numId w:val="1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анализ применения антикоррупционной политики и, при необходимости, ее пересмотр.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Разработка проекта антикоррупционной политики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lastRenderedPageBreak/>
        <w:t>Согласование  проекта и его утверждение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Информирование работников о принятой в организации антикоррупционной политике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Реализация предусмотренных политикой антикоррупционных мер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Анализ применения антикоррупционной политики и, при необходимости, ее пересмотр</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w:t>
      </w:r>
      <w:r w:rsidRPr="00A80C35">
        <w:rPr>
          <w:rFonts w:ascii="Arial" w:eastAsia="Times New Roman" w:hAnsi="Arial" w:cs="Arial"/>
          <w:color w:val="000000"/>
          <w:sz w:val="28"/>
          <w:szCs w:val="28"/>
        </w:rPr>
        <w:lastRenderedPageBreak/>
        <w:t>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Содержание</w:t>
      </w:r>
      <w:r w:rsidRPr="00A80C35">
        <w:rPr>
          <w:rFonts w:ascii="Arial" w:eastAsia="Times New Roman" w:hAnsi="Arial" w:cs="Arial"/>
          <w:color w:val="000000"/>
          <w:sz w:val="28"/>
          <w:szCs w:val="28"/>
        </w:rPr>
        <w:t>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цели и задачи внедрения антикоррупционной политики;</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используемые в политике понятия и определения;</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основные принципы антикоррупционной деятельности организации;</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область применения политики и круг лиц, попадающих под ее действие;</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должностных лиц организации, ответственных за реализацию антикоррупционной политики;</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ответственность сотрудников за несоблюдение требований антикоррупционной политики;</w:t>
      </w:r>
    </w:p>
    <w:p w:rsidR="00A80C35" w:rsidRPr="00A80C35" w:rsidRDefault="00A80C35" w:rsidP="00A80C35">
      <w:pPr>
        <w:numPr>
          <w:ilvl w:val="0"/>
          <w:numId w:val="1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порядок пересмотра и внесения изменений в антикоррупционную политику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Область применения политики и круг лиц, попадающих под ее действие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w:t>
      </w:r>
      <w:r w:rsidRPr="00A80C35">
        <w:rPr>
          <w:rFonts w:ascii="Arial" w:eastAsia="Times New Roman" w:hAnsi="Arial" w:cs="Arial"/>
          <w:color w:val="000000"/>
          <w:sz w:val="28"/>
          <w:szCs w:val="28"/>
        </w:rPr>
        <w:lastRenderedPageBreak/>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Закрепление обязанностей работников и организации, связанных с предупреждением и противодействием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Примерами общих обязанностей работников в связи с предупреждением и противодействием коррупции могут быть следующие:</w:t>
      </w:r>
    </w:p>
    <w:p w:rsidR="00A80C35" w:rsidRPr="00A80C35" w:rsidRDefault="00A80C35" w:rsidP="00A80C35">
      <w:pPr>
        <w:numPr>
          <w:ilvl w:val="0"/>
          <w:numId w:val="1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воздерживаться от совершения и (или) участия в совершении коррупционных правонарушений в интересах или от имени организации;</w:t>
      </w:r>
    </w:p>
    <w:p w:rsidR="00A80C35" w:rsidRPr="00A80C35" w:rsidRDefault="00A80C35" w:rsidP="00A80C35">
      <w:pPr>
        <w:numPr>
          <w:ilvl w:val="0"/>
          <w:numId w:val="1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80C35" w:rsidRPr="00A80C35" w:rsidRDefault="00A80C35" w:rsidP="00A80C35">
      <w:pPr>
        <w:numPr>
          <w:ilvl w:val="0"/>
          <w:numId w:val="1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A80C35" w:rsidRPr="00A80C35" w:rsidRDefault="00A80C35" w:rsidP="00A80C35">
      <w:pPr>
        <w:numPr>
          <w:ilvl w:val="0"/>
          <w:numId w:val="1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A80C35" w:rsidRPr="00A80C35" w:rsidRDefault="00A80C35" w:rsidP="00A80C35">
      <w:pPr>
        <w:numPr>
          <w:ilvl w:val="0"/>
          <w:numId w:val="1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w:t>
      </w:r>
      <w:r w:rsidRPr="00A80C35">
        <w:rPr>
          <w:rFonts w:ascii="Arial" w:eastAsia="Times New Roman" w:hAnsi="Arial" w:cs="Arial"/>
          <w:color w:val="000000"/>
          <w:sz w:val="28"/>
          <w:szCs w:val="28"/>
        </w:rPr>
        <w:lastRenderedPageBreak/>
        <w:t>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bookmarkStart w:id="9" w:name="_ftnref1"/>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"_ftn1"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[1]</w:t>
      </w:r>
      <w:r w:rsidRPr="00A80C35">
        <w:rPr>
          <w:rFonts w:ascii="Arial" w:eastAsia="Times New Roman" w:hAnsi="Arial" w:cs="Arial"/>
          <w:color w:val="000000"/>
          <w:sz w:val="28"/>
          <w:szCs w:val="28"/>
        </w:rPr>
        <w:fldChar w:fldCharType="end"/>
      </w:r>
      <w:bookmarkEnd w:id="9"/>
      <w:r w:rsidRPr="00A80C35">
        <w:rPr>
          <w:rFonts w:ascii="Arial" w:eastAsia="Times New Roman" w:hAnsi="Arial" w:cs="Arial"/>
          <w:color w:val="000000"/>
          <w:sz w:val="28"/>
          <w:szCs w:val="28"/>
        </w:rPr>
        <w:t>.</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Установление перечня проводимых организацией антикоррупционных мероприятий и порядок их выполнения (применения)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w:t>
      </w:r>
      <w:r w:rsidRPr="00A80C35">
        <w:rPr>
          <w:rFonts w:ascii="Arial" w:eastAsia="Times New Roman" w:hAnsi="Arial" w:cs="Arial"/>
          <w:color w:val="000000"/>
          <w:sz w:val="28"/>
          <w:szCs w:val="28"/>
        </w:rPr>
        <w:lastRenderedPageBreak/>
        <w:t>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Таблица 1 – Примерный перечень антикоррупционных мероприятий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tbl>
      <w:tblPr>
        <w:tblW w:w="0" w:type="auto"/>
        <w:shd w:val="clear" w:color="auto" w:fill="FBF8EE"/>
        <w:tblCellMar>
          <w:top w:w="15" w:type="dxa"/>
          <w:left w:w="15" w:type="dxa"/>
          <w:bottom w:w="15" w:type="dxa"/>
          <w:right w:w="15" w:type="dxa"/>
        </w:tblCellMar>
        <w:tblLook w:val="04A0"/>
      </w:tblPr>
      <w:tblGrid>
        <w:gridCol w:w="2880"/>
        <w:gridCol w:w="6480"/>
      </w:tblGrid>
      <w:tr w:rsidR="00A80C35" w:rsidRPr="00A80C35" w:rsidTr="00A80C35">
        <w:tc>
          <w:tcPr>
            <w:tcW w:w="28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t>Направление</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t>Мероприятие</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Нормативное обеспечение, закрепление стандартов поведения и декларация намерений</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принятие кодекса этики и служебного поведения работников организации</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внедрение положения о конфликте интересов, декларации о конфликте интересов</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принятие правил, регламентирующих вопросы обмена деловыми подарками и знаками делового гостеприимства</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Присоединение к Антикоррупционной хартии российского бизнеса</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в договоры, связанные с хозяйственной деятельностью организации, стандартной антикоррупционной оговорки</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антикоррупционных положений в трудовые договора работников</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введение специальных антикоррупционных процедур</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w:t>
            </w:r>
            <w:r w:rsidRPr="00A80C35">
              <w:rPr>
                <w:rFonts w:ascii="Arial" w:eastAsia="Times New Roman" w:hAnsi="Arial" w:cs="Arial"/>
                <w:color w:val="000000"/>
                <w:sz w:val="28"/>
                <w:szCs w:val="28"/>
              </w:rPr>
              <w:lastRenderedPageBreak/>
              <w:t>(механизмов «обратной связи», телефона доверия и т. п.)</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Ежегодное заполнение декларации о конфликте интересов</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Ротация работников, занимающих должности, связанные с высоким коррупционным риском</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Обучение и информирование работников</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Проведение обучающих мероприятий по вопросам профилактики и противодействия коррупции</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Обеспечение соответствия системы внутреннего контроля и аудита организации требованиям антикоррупционной политики </w:t>
            </w:r>
            <w:r w:rsidRPr="00A80C35">
              <w:rPr>
                <w:rFonts w:ascii="Arial" w:eastAsia="Times New Roman" w:hAnsi="Arial" w:cs="Arial"/>
                <w:color w:val="000000"/>
                <w:sz w:val="28"/>
                <w:szCs w:val="28"/>
              </w:rPr>
              <w:lastRenderedPageBreak/>
              <w:t>организации</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Осуществление регулярного контроля соблюдения внутренних процедур</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Осуществление регулярного контроля </w:t>
            </w:r>
            <w:r w:rsidRPr="00A80C35">
              <w:rPr>
                <w:rFonts w:ascii="Arial" w:eastAsia="Times New Roman" w:hAnsi="Arial" w:cs="Arial"/>
                <w:color w:val="000000"/>
                <w:sz w:val="28"/>
                <w:szCs w:val="28"/>
              </w:rPr>
              <w:lastRenderedPageBreak/>
              <w:t>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Привлечение экспертов</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Периодическое проведение внешнего аудита</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80C35" w:rsidRPr="00A80C35" w:rsidTr="00A80C35">
        <w:tc>
          <w:tcPr>
            <w:tcW w:w="2880" w:type="dxa"/>
            <w:vMerge w:val="restart"/>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Оценка результатов проводимой антикоррупционной работы и распространение отчетных материалов</w:t>
            </w: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Проведение регулярной оценки результатов работы по противодействию коррупции</w:t>
            </w:r>
          </w:p>
        </w:tc>
      </w:tr>
      <w:tr w:rsidR="00A80C35" w:rsidRPr="00A80C35" w:rsidTr="00A80C35">
        <w:tc>
          <w:tcPr>
            <w:tcW w:w="0" w:type="auto"/>
            <w:vMerge/>
            <w:shd w:val="clear" w:color="auto" w:fill="FBF8EE"/>
            <w:vAlign w:val="center"/>
            <w:hideMark/>
          </w:tcPr>
          <w:p w:rsidR="00A80C35" w:rsidRPr="00A80C35" w:rsidRDefault="00A80C35" w:rsidP="00A80C35">
            <w:pPr>
              <w:spacing w:after="0" w:line="240" w:lineRule="auto"/>
              <w:jc w:val="both"/>
              <w:rPr>
                <w:rFonts w:ascii="Arial" w:eastAsia="Times New Roman" w:hAnsi="Arial" w:cs="Arial"/>
                <w:color w:val="000000"/>
                <w:sz w:val="28"/>
                <w:szCs w:val="28"/>
              </w:rPr>
            </w:pPr>
          </w:p>
        </w:tc>
        <w:tc>
          <w:tcPr>
            <w:tcW w:w="6480" w:type="dxa"/>
            <w:shd w:val="clear" w:color="auto" w:fill="FBF8EE"/>
            <w:vAlign w:val="center"/>
            <w:hideMark/>
          </w:tcPr>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0" w:name="_Toc369706632"/>
      <w:bookmarkEnd w:id="10"/>
      <w:r w:rsidRPr="00A80C35">
        <w:rPr>
          <w:rFonts w:ascii="Arial" w:eastAsia="Times New Roman" w:hAnsi="Arial" w:cs="Arial"/>
          <w:color w:val="000000"/>
          <w:sz w:val="28"/>
          <w:szCs w:val="28"/>
        </w:rPr>
        <w:t>2. Определение подразделений или должностных лиц, ответственных за противодействие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Например, они могут быть установлены:</w:t>
      </w:r>
    </w:p>
    <w:p w:rsidR="00A80C35" w:rsidRPr="00A80C35" w:rsidRDefault="00A80C35" w:rsidP="00A80C35">
      <w:pPr>
        <w:numPr>
          <w:ilvl w:val="0"/>
          <w:numId w:val="1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антикоррупционной политике организации и иных нормативных документах, устанавливающих антикоррупционные процедуры;</w:t>
      </w:r>
    </w:p>
    <w:p w:rsidR="00A80C35" w:rsidRPr="00A80C35" w:rsidRDefault="00A80C35" w:rsidP="00A80C35">
      <w:pPr>
        <w:numPr>
          <w:ilvl w:val="0"/>
          <w:numId w:val="1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в трудовых договорах и должностных инструкциях ответственных работников;</w:t>
      </w:r>
    </w:p>
    <w:p w:rsidR="00A80C35" w:rsidRPr="00A80C35" w:rsidRDefault="00A80C35" w:rsidP="00A80C35">
      <w:pPr>
        <w:numPr>
          <w:ilvl w:val="0"/>
          <w:numId w:val="1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положении о подразделении, ответственном за противодействие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число обязанностей структурного подразделения или должностного лица, например, может включаться:</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проведение контрольных мероприятий, направленных на выявление коррупционных правонарушений работниками организации;</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проведения оценки коррупционных рисков;</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заполнения и рассмотрения деклараций о конфликте интересов;</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80C35" w:rsidRPr="00A80C35" w:rsidRDefault="00A80C35" w:rsidP="00A80C35">
      <w:pPr>
        <w:numPr>
          <w:ilvl w:val="0"/>
          <w:numId w:val="2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проведение оценки результатов антикоррупционной работы и подготовка соответствующих отчетных материалов руководству организации.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1" w:name="_Toc369706633"/>
      <w:bookmarkEnd w:id="11"/>
      <w:r w:rsidRPr="00A80C35">
        <w:rPr>
          <w:rFonts w:ascii="Arial" w:eastAsia="Times New Roman" w:hAnsi="Arial" w:cs="Arial"/>
          <w:color w:val="000000"/>
          <w:sz w:val="28"/>
          <w:szCs w:val="28"/>
        </w:rPr>
        <w:t>3. Оценка коррупционных рисков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представить деятельность организации в виде отдельных бизнес-процессов, в каждом из которых выделить составные элементы (подпроцессы);</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вероятные формы осуществления коррупционных платежей.</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A80C35" w:rsidRPr="00A80C35" w:rsidRDefault="00A80C35" w:rsidP="00A80C35">
      <w:pPr>
        <w:numPr>
          <w:ilvl w:val="0"/>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детальную регламентацию способа и сроков совершения действий работником в «критической точке»;</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реинжиниринг функций, в том числе их перераспределение между структурными подразделениями внутри организации;</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установление дополнительных форм отчетности работников о результатах принятых решений;</w:t>
      </w:r>
    </w:p>
    <w:p w:rsidR="00A80C35" w:rsidRPr="00A80C35" w:rsidRDefault="00A80C35" w:rsidP="00A80C35">
      <w:pPr>
        <w:numPr>
          <w:ilvl w:val="1"/>
          <w:numId w:val="2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введение ограничений, затрудняющих осуществление коррупционных платежей и т.д.</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2" w:name="_Toc369706634"/>
      <w:bookmarkEnd w:id="12"/>
      <w:r w:rsidRPr="00A80C35">
        <w:rPr>
          <w:rFonts w:ascii="Arial" w:eastAsia="Times New Roman" w:hAnsi="Arial" w:cs="Arial"/>
          <w:color w:val="000000"/>
          <w:sz w:val="28"/>
          <w:szCs w:val="28"/>
        </w:rPr>
        <w:t>4. Выявление и урегулирование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lastRenderedPageBreak/>
        <w:t>4.1. Особенности нормативного правового регулирования в сфере предотвращения, выявления и урегулирования конфликта интересов в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Во-первых, соответствующие нормы содержатся в Федеральном законе «О противодействии коррупции», а также в принятых в его развитие статьях ТК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Федеральный закон «О противодействии коррупции» и Трудовой кодекс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«конфликта интересов», содержащееся в Федеральном законе «О противодействии коррупции», изначально было ориентировано на государственную службу. В соответствии с частью 1 статьи 10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w:t>
      </w:r>
      <w:r w:rsidRPr="00A80C35">
        <w:rPr>
          <w:rFonts w:ascii="Arial" w:eastAsia="Times New Roman" w:hAnsi="Arial" w:cs="Arial"/>
          <w:color w:val="000000"/>
          <w:sz w:val="28"/>
          <w:szCs w:val="28"/>
        </w:rPr>
        <w:lastRenderedPageBreak/>
        <w:t>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со статьей 12.4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A80C35" w:rsidRPr="00A80C35" w:rsidRDefault="00A80C35" w:rsidP="00A80C35">
      <w:pPr>
        <w:numPr>
          <w:ilvl w:val="0"/>
          <w:numId w:val="2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государственных корпорациях;</w:t>
      </w:r>
    </w:p>
    <w:p w:rsidR="00A80C35" w:rsidRPr="00A80C35" w:rsidRDefault="00A80C35" w:rsidP="00A80C35">
      <w:pPr>
        <w:numPr>
          <w:ilvl w:val="0"/>
          <w:numId w:val="2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A80C35" w:rsidRPr="00A80C35" w:rsidRDefault="00A80C35" w:rsidP="00A80C35">
      <w:pPr>
        <w:numPr>
          <w:ilvl w:val="0"/>
          <w:numId w:val="2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иных организациях, создаваемых Российской Федерацией на основании федеральных законов;</w:t>
      </w:r>
    </w:p>
    <w:p w:rsidR="00A80C35" w:rsidRPr="00A80C35" w:rsidRDefault="00A80C35" w:rsidP="00A80C35">
      <w:pPr>
        <w:numPr>
          <w:ilvl w:val="0"/>
          <w:numId w:val="2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организациях, создаваемых для выполнения задач, поставленных перед федеральными государственными органами.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На данные категории работников ограничения, запреты и обязанности, установленные Федеральным законом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ТК РФ, а также в ряде подзаконных нормативных правовых актов.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применительно к государственным корпорациям и государственным компаниям в соответствии со статьей 349.1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w:t>
      </w:r>
      <w:r w:rsidRPr="00A80C35">
        <w:rPr>
          <w:rFonts w:ascii="Arial" w:eastAsia="Times New Roman" w:hAnsi="Arial" w:cs="Arial"/>
          <w:color w:val="000000"/>
          <w:sz w:val="28"/>
          <w:szCs w:val="28"/>
        </w:rPr>
        <w:lastRenderedPageBreak/>
        <w:t>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статье 349.1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статье 10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Им, в первую </w:t>
      </w:r>
      <w:r w:rsidRPr="00A80C35">
        <w:rPr>
          <w:rFonts w:ascii="Arial" w:eastAsia="Times New Roman" w:hAnsi="Arial" w:cs="Arial"/>
          <w:color w:val="000000"/>
          <w:sz w:val="28"/>
          <w:szCs w:val="28"/>
        </w:rPr>
        <w:lastRenderedPageBreak/>
        <w:t>очередь, следует руководствоваться  нормативными правовыми актами, регулирующими сферу, в которой организация осуществляет свою деятельность.</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t>Нормативные правовые акты, регулирующие отдельные виды деятельности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Организации, вовлеченные в процесс формирования и инвестирования средств пенсионных накоплений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со статьей 35 Федерального закона от 24 июля 2002 г. № 111-ФЗ «Об инвестировании средств для финансирования накопительной части трудовой пенсии в Российской Федерации»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близкими родственниками в соответствии со статьей 14 Семейного кодекса Российской Федерации считаются родители и дети, дедушки, бабушки, внуки, полнородные и неполнородные братья и сестры.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Понятия «материальная выгода» и «личная выгода» раскрываются в постановлении Правительства Российской Федерации от 12 декабря 2004 г.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 770).</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w:t>
      </w:r>
      <w:r w:rsidRPr="00A80C35">
        <w:rPr>
          <w:rFonts w:ascii="Arial" w:eastAsia="Times New Roman" w:hAnsi="Arial" w:cs="Arial"/>
          <w:color w:val="000000"/>
          <w:sz w:val="28"/>
          <w:szCs w:val="28"/>
        </w:rPr>
        <w:lastRenderedPageBreak/>
        <w:t>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Аналогичное определение «конфликта интересов» применительно к негосударственным пенсионным фондам закреплено в статье 36.24 Федерального закона от 7 мая 1998 г. № 75-ФЗ «О негосударственных пенсионных фондах» (далее – Федеральный закон № 75-ФЗ).</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 111-ФЗ и Федеральный закон № 75-ФЗ, прямо не упомянуты. Вместе с тем, часть 3 статьи 35 Федерального закона №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 1 статьи 35 Федерального закона №  111-ФЗ.</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w:t>
      </w:r>
      <w:r w:rsidRPr="00A80C35">
        <w:rPr>
          <w:rFonts w:ascii="Arial" w:eastAsia="Times New Roman" w:hAnsi="Arial" w:cs="Arial"/>
          <w:color w:val="000000"/>
          <w:sz w:val="28"/>
          <w:szCs w:val="28"/>
        </w:rPr>
        <w:lastRenderedPageBreak/>
        <w:t>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Также следует обратить внимание на то, что в соответствии с постановлением №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в соответствии со статьями 35-36 Федерального закона № 111-ФЗтребования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кодексу следует </w:t>
      </w:r>
      <w:r w:rsidRPr="00A80C35">
        <w:rPr>
          <w:rFonts w:ascii="Arial" w:eastAsia="Times New Roman" w:hAnsi="Arial" w:cs="Arial"/>
          <w:color w:val="000000"/>
          <w:sz w:val="28"/>
          <w:szCs w:val="28"/>
        </w:rPr>
        <w:lastRenderedPageBreak/>
        <w:t>уделить самое пристальное внимание. В Типовом кодексе в числе прочего:</w:t>
      </w:r>
    </w:p>
    <w:p w:rsidR="00A80C35" w:rsidRPr="00A80C35" w:rsidRDefault="00A80C35" w:rsidP="00A80C35">
      <w:pPr>
        <w:numPr>
          <w:ilvl w:val="0"/>
          <w:numId w:val="2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приведен перечень конкретных ситуаций, в которых может возникнуть конфликт интересов;</w:t>
      </w:r>
    </w:p>
    <w:p w:rsidR="00A80C35" w:rsidRPr="00A80C35" w:rsidRDefault="00A80C35" w:rsidP="00A80C35">
      <w:pPr>
        <w:numPr>
          <w:ilvl w:val="0"/>
          <w:numId w:val="2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A80C35" w:rsidRPr="00A80C35" w:rsidRDefault="00A80C35" w:rsidP="00A80C35">
      <w:pPr>
        <w:numPr>
          <w:ilvl w:val="0"/>
          <w:numId w:val="2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A80C35" w:rsidRPr="00A80C35" w:rsidRDefault="00A80C35" w:rsidP="00A80C35">
      <w:pPr>
        <w:numPr>
          <w:ilvl w:val="0"/>
          <w:numId w:val="2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Профессиональные участники рынка ценных бумаг и управляющие компании инвестиционных фондов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Федеральный закон от 22 апреля 1996 г. № 39-ФЗ «О рынке ценных бумаг» (далее – Федеральный закон № 39-ФЗ) не содержит определения понятия «конфликт интересов». Вместе с тем, в соответствии со статьями 3 и 5 Федерального закона №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w:t>
      </w:r>
      <w:r w:rsidRPr="00A80C35">
        <w:rPr>
          <w:rFonts w:ascii="Arial" w:eastAsia="Times New Roman" w:hAnsi="Arial" w:cs="Arial"/>
          <w:color w:val="000000"/>
          <w:sz w:val="28"/>
          <w:szCs w:val="28"/>
        </w:rPr>
        <w:lastRenderedPageBreak/>
        <w:t>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Содержание понятия «конфликт интересов» для этого вида организаций раскрывается в постановлении ФКЦБ России от 5 ноября 1998 г. № 44 «О предотвращении конфликта интересов при осуществлении профессиональной деятельности на рынке ценных бумаг» (далее – постановление № 44). В соответствии с пунктом 1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согласно пункту 4 постановления №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«конфликт интересов», закрепленное в постановлении № 44 применяется и в отношении управляющих компаний инвестиционных фондов. В соответствии со статьей 38 Федерального закона от 29 ноября 2001 г. №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Кредитные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Применительно к кредитным организациям определение «конфликта интересов» закреплено в Положении Банка России от 16 декабря 2003 г. № 242-П об организации внутреннего контроля в кредитных организациях и банковских группах (далее – Положение).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w:t>
      </w:r>
      <w:r w:rsidRPr="00A80C35">
        <w:rPr>
          <w:rFonts w:ascii="Arial" w:eastAsia="Times New Roman" w:hAnsi="Arial" w:cs="Arial"/>
          <w:color w:val="000000"/>
          <w:sz w:val="28"/>
          <w:szCs w:val="28"/>
        </w:rPr>
        <w:lastRenderedPageBreak/>
        <w:t>клиентов, которое может повлечь за собой неблагоприятные последствия для кредитной организации и (или) ее клиентов.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совершать банковские операции и другие сделки и осуществлять их регистрацию и (или) отражение в учете;</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санкционировать выплату денежных средств и осуществлять (совершать) их фактическую выплату;</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A80C35" w:rsidRPr="00A80C35" w:rsidRDefault="00A80C35" w:rsidP="00A80C35">
      <w:pPr>
        <w:numPr>
          <w:ilvl w:val="0"/>
          <w:numId w:val="2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совершать действия в любых других областях, где может возникнуть конфликт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 пунктом 3.4.3.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Организации, осуществляющие медицинскую или фармацевтическую деятельность</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В соответствии с частью 1 статьи 75  Федерального закона №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w:t>
      </w:r>
      <w:r w:rsidRPr="00A80C35">
        <w:rPr>
          <w:rFonts w:ascii="Arial" w:eastAsia="Times New Roman" w:hAnsi="Arial" w:cs="Arial"/>
          <w:color w:val="000000"/>
          <w:sz w:val="28"/>
          <w:szCs w:val="28"/>
        </w:rPr>
        <w:lastRenderedPageBreak/>
        <w:t>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Федеральный закон № 323-ФЗ обязывает медицинских и фармацевтических работников информировать о возникновении конфликта интересов в письменной форме:</w:t>
      </w:r>
    </w:p>
    <w:p w:rsidR="00A80C35" w:rsidRPr="00A80C35" w:rsidRDefault="00A80C35" w:rsidP="00A80C35">
      <w:pPr>
        <w:numPr>
          <w:ilvl w:val="0"/>
          <w:numId w:val="2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A80C35" w:rsidRPr="00A80C35" w:rsidRDefault="00A80C35" w:rsidP="00A80C35">
      <w:pPr>
        <w:numPr>
          <w:ilvl w:val="0"/>
          <w:numId w:val="2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A80C35" w:rsidRPr="00A80C35" w:rsidRDefault="00A80C35" w:rsidP="00A80C35">
      <w:pPr>
        <w:numPr>
          <w:ilvl w:val="0"/>
          <w:numId w:val="2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следует обратить особое внимание на то, что 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A80C35" w:rsidRPr="00A80C35" w:rsidRDefault="00A80C35" w:rsidP="00A80C35">
      <w:pPr>
        <w:numPr>
          <w:ilvl w:val="0"/>
          <w:numId w:val="2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A80C35" w:rsidRPr="00A80C35" w:rsidRDefault="00A80C35" w:rsidP="00A80C35">
      <w:pPr>
        <w:numPr>
          <w:ilvl w:val="0"/>
          <w:numId w:val="2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A80C35" w:rsidRPr="00A80C35" w:rsidRDefault="00A80C35" w:rsidP="00A80C35">
      <w:pPr>
        <w:numPr>
          <w:ilvl w:val="0"/>
          <w:numId w:val="2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Аудиторские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 частью 3 статьи 8 Федерального закона от 30 декабря 2008 г.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A80C35" w:rsidRPr="00A80C35" w:rsidRDefault="00A80C35" w:rsidP="00A80C35">
      <w:pPr>
        <w:numPr>
          <w:ilvl w:val="0"/>
          <w:numId w:val="2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примерный перечень обстоятельств, при которых может возникнуть конфликт интересов при осуществлении аудиторской деятельности (пункт 2.30);</w:t>
      </w:r>
    </w:p>
    <w:p w:rsidR="00A80C35" w:rsidRPr="00A80C35" w:rsidRDefault="00A80C35" w:rsidP="00A80C35">
      <w:pPr>
        <w:numPr>
          <w:ilvl w:val="0"/>
          <w:numId w:val="2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w:t>
      </w:r>
    </w:p>
    <w:p w:rsidR="00A80C35" w:rsidRPr="00A80C35" w:rsidRDefault="00A80C35" w:rsidP="00A80C35">
      <w:pPr>
        <w:numPr>
          <w:ilvl w:val="0"/>
          <w:numId w:val="2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i/>
          <w:iCs/>
          <w:color w:val="000000"/>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Акционерные общества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A80C35" w:rsidRPr="00A80C35" w:rsidRDefault="00A80C35" w:rsidP="00A80C35">
      <w:pPr>
        <w:numPr>
          <w:ilvl w:val="0"/>
          <w:numId w:val="2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члена совета директоров (наблюдательного совета) общества,</w:t>
      </w:r>
    </w:p>
    <w:p w:rsidR="00A80C35" w:rsidRPr="00A80C35" w:rsidRDefault="00A80C35" w:rsidP="00A80C35">
      <w:pPr>
        <w:numPr>
          <w:ilvl w:val="0"/>
          <w:numId w:val="2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лица, осуществляющего функции единоличного исполнительного органа общества, в том числе управляющей организации или управляющего,</w:t>
      </w:r>
    </w:p>
    <w:p w:rsidR="00A80C35" w:rsidRPr="00A80C35" w:rsidRDefault="00A80C35" w:rsidP="00A80C35">
      <w:pPr>
        <w:numPr>
          <w:ilvl w:val="0"/>
          <w:numId w:val="2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члена коллегиального исполнительного органа общества,</w:t>
      </w:r>
    </w:p>
    <w:p w:rsidR="00A80C35" w:rsidRPr="00A80C35" w:rsidRDefault="00A80C35" w:rsidP="00A80C35">
      <w:pPr>
        <w:numPr>
          <w:ilvl w:val="0"/>
          <w:numId w:val="2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акционера общества, имеющего совместно с его аффилированными лицами 20 и более процентов голосующих акций общества,</w:t>
      </w:r>
    </w:p>
    <w:p w:rsidR="00A80C35" w:rsidRPr="00A80C35" w:rsidRDefault="00A80C35" w:rsidP="00A80C35">
      <w:pPr>
        <w:numPr>
          <w:ilvl w:val="0"/>
          <w:numId w:val="2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лица, имеющего право давать обществу обязательные для него указания.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80C35" w:rsidRPr="00A80C35" w:rsidRDefault="00A80C35" w:rsidP="00A80C35">
      <w:pPr>
        <w:numPr>
          <w:ilvl w:val="0"/>
          <w:numId w:val="2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стороной, выгодоприобретателем, посредником или представителем в сделке;</w:t>
      </w:r>
    </w:p>
    <w:p w:rsidR="00A80C35" w:rsidRPr="00A80C35" w:rsidRDefault="00A80C35" w:rsidP="00A80C35">
      <w:pPr>
        <w:numPr>
          <w:ilvl w:val="0"/>
          <w:numId w:val="2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владеют (каждый в отдельности или в совокупности) 20 и более процентами акций (долей, паев) юридического лица, являющегося </w:t>
      </w:r>
      <w:r w:rsidRPr="00A80C35">
        <w:rPr>
          <w:rFonts w:ascii="Arial" w:eastAsia="Times New Roman" w:hAnsi="Arial" w:cs="Arial"/>
          <w:color w:val="000000"/>
          <w:sz w:val="28"/>
          <w:szCs w:val="28"/>
        </w:rPr>
        <w:lastRenderedPageBreak/>
        <w:t>стороной, выгодоприобретателем, посредником или представителем в сделке;</w:t>
      </w:r>
    </w:p>
    <w:p w:rsidR="00A80C35" w:rsidRPr="00A80C35" w:rsidRDefault="00A80C35" w:rsidP="00A80C35">
      <w:pPr>
        <w:numPr>
          <w:ilvl w:val="0"/>
          <w:numId w:val="2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80C35" w:rsidRPr="00A80C35" w:rsidRDefault="00A80C35" w:rsidP="00A80C35">
      <w:pPr>
        <w:numPr>
          <w:ilvl w:val="0"/>
          <w:numId w:val="2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иных случаях, определенных уставом общества.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A80C35" w:rsidRPr="00A80C35" w:rsidRDefault="00A80C35" w:rsidP="00A80C35">
      <w:pPr>
        <w:numPr>
          <w:ilvl w:val="0"/>
          <w:numId w:val="3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A80C35" w:rsidRPr="00A80C35" w:rsidRDefault="00A80C35" w:rsidP="00A80C35">
      <w:pPr>
        <w:numPr>
          <w:ilvl w:val="0"/>
          <w:numId w:val="3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 юридических лицах, в органах управления которых они занимают должности;</w:t>
      </w:r>
    </w:p>
    <w:p w:rsidR="00A80C35" w:rsidRPr="00A80C35" w:rsidRDefault="00A80C35" w:rsidP="00A80C35">
      <w:pPr>
        <w:numPr>
          <w:ilvl w:val="0"/>
          <w:numId w:val="3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 известных им совершаемых или предполагаемых сделках, в которых они могут быть признаны заинтересованными лицами.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Общества с ограниченной ответственностью</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Федеральном законе от 8 февраля 1998 г. № 14-ФЗ  «Об обществах с ограниченной ответственностью»(далее – Федеральный закон № 14-ФЗ)понятие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A80C35" w:rsidRPr="00A80C35" w:rsidRDefault="00A80C35" w:rsidP="00A80C35">
      <w:pPr>
        <w:numPr>
          <w:ilvl w:val="0"/>
          <w:numId w:val="3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члена совета директоров (наблюдательного совета) общества,</w:t>
      </w:r>
    </w:p>
    <w:p w:rsidR="00A80C35" w:rsidRPr="00A80C35" w:rsidRDefault="00A80C35" w:rsidP="00A80C35">
      <w:pPr>
        <w:numPr>
          <w:ilvl w:val="0"/>
          <w:numId w:val="3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лица, осуществляющего функции единоличного исполнительного органа общества,</w:t>
      </w:r>
    </w:p>
    <w:p w:rsidR="00A80C35" w:rsidRPr="00A80C35" w:rsidRDefault="00A80C35" w:rsidP="00A80C35">
      <w:pPr>
        <w:numPr>
          <w:ilvl w:val="0"/>
          <w:numId w:val="3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члена коллегиального исполнительного органа общества,</w:t>
      </w:r>
    </w:p>
    <w:p w:rsidR="00A80C35" w:rsidRPr="00A80C35" w:rsidRDefault="00A80C35" w:rsidP="00A80C35">
      <w:pPr>
        <w:numPr>
          <w:ilvl w:val="0"/>
          <w:numId w:val="3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A80C35" w:rsidRPr="00A80C35" w:rsidRDefault="00A80C35" w:rsidP="00A80C35">
      <w:pPr>
        <w:numPr>
          <w:ilvl w:val="0"/>
          <w:numId w:val="3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лица, имеющего право давать обществу обязательные для него указания.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80C35" w:rsidRPr="00A80C35" w:rsidRDefault="00A80C35" w:rsidP="00A80C35">
      <w:pPr>
        <w:numPr>
          <w:ilvl w:val="0"/>
          <w:numId w:val="3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стороной сделки или выступают в интересах третьих лиц в их отношениях с обществом;</w:t>
      </w:r>
    </w:p>
    <w:p w:rsidR="00A80C35" w:rsidRPr="00A80C35" w:rsidRDefault="00A80C35" w:rsidP="00A80C35">
      <w:pPr>
        <w:numPr>
          <w:ilvl w:val="0"/>
          <w:numId w:val="3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80C35" w:rsidRPr="00A80C35" w:rsidRDefault="00A80C35" w:rsidP="00A80C35">
      <w:pPr>
        <w:numPr>
          <w:ilvl w:val="0"/>
          <w:numId w:val="3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A80C35" w:rsidRPr="00A80C35" w:rsidRDefault="00A80C35" w:rsidP="00A80C35">
      <w:pPr>
        <w:numPr>
          <w:ilvl w:val="0"/>
          <w:numId w:val="3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иных случаях, определенных уставом общества.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A80C35" w:rsidRPr="00A80C35" w:rsidRDefault="00A80C35" w:rsidP="00A80C35">
      <w:pPr>
        <w:numPr>
          <w:ilvl w:val="0"/>
          <w:numId w:val="3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A80C35" w:rsidRPr="00A80C35" w:rsidRDefault="00A80C35" w:rsidP="00A80C35">
      <w:pPr>
        <w:numPr>
          <w:ilvl w:val="0"/>
          <w:numId w:val="3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A80C35" w:rsidRPr="00A80C35" w:rsidRDefault="00A80C35" w:rsidP="00A80C35">
      <w:pPr>
        <w:numPr>
          <w:ilvl w:val="0"/>
          <w:numId w:val="3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 известных им совершаемых или предполагаемых сделках, в совершении которых они могут быть признаны заинтересованными.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Основным ограничением на совершение сделок с заинтересованностью является особый порядок их одобрения. В </w:t>
      </w:r>
      <w:r w:rsidRPr="00A80C35">
        <w:rPr>
          <w:rFonts w:ascii="Arial" w:eastAsia="Times New Roman" w:hAnsi="Arial" w:cs="Arial"/>
          <w:color w:val="000000"/>
          <w:sz w:val="28"/>
          <w:szCs w:val="28"/>
        </w:rPr>
        <w:lastRenderedPageBreak/>
        <w:t>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Федерального закона № 14-ФЗ.</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Некоммерческие организации, в том числе саморегулируемые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Федеральный закон от 12 января 1996 г. № 7-ФЗ «О некоммерческих организациях»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Федеральном законе № 7-ФЗ 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в соответствии с частью 1 статьи 27 Федерального закона №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A80C35" w:rsidRPr="00A80C35" w:rsidRDefault="00A80C35" w:rsidP="00A80C35">
      <w:pPr>
        <w:numPr>
          <w:ilvl w:val="0"/>
          <w:numId w:val="3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состоят с этими организациями или гражданами в трудовых отношениях;</w:t>
      </w:r>
    </w:p>
    <w:p w:rsidR="00A80C35" w:rsidRPr="00A80C35" w:rsidRDefault="00A80C35" w:rsidP="00A80C35">
      <w:pPr>
        <w:numPr>
          <w:ilvl w:val="0"/>
          <w:numId w:val="3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участниками, кредиторами этих организаций;состоят с этими гражданами в близких родственных отношениях;</w:t>
      </w:r>
    </w:p>
    <w:p w:rsidR="00A80C35" w:rsidRPr="00A80C35" w:rsidRDefault="00A80C35" w:rsidP="00A80C35">
      <w:pPr>
        <w:numPr>
          <w:ilvl w:val="0"/>
          <w:numId w:val="3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кредиторами этих граждан.</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Вместе с тем указанные организации или граждане должны отвечать одной из следующих характеристик:</w:t>
      </w:r>
    </w:p>
    <w:p w:rsidR="00A80C35" w:rsidRPr="00A80C35" w:rsidRDefault="00A80C35" w:rsidP="00A80C35">
      <w:pPr>
        <w:numPr>
          <w:ilvl w:val="0"/>
          <w:numId w:val="3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поставщиками товаров (услуг) для некоммерческой организации;</w:t>
      </w:r>
    </w:p>
    <w:p w:rsidR="00A80C35" w:rsidRPr="00A80C35" w:rsidRDefault="00A80C35" w:rsidP="00A80C35">
      <w:pPr>
        <w:numPr>
          <w:ilvl w:val="0"/>
          <w:numId w:val="3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являются крупными потребителями товаров (услуг), производимых некоммерческой организацией;</w:t>
      </w:r>
    </w:p>
    <w:p w:rsidR="00A80C35" w:rsidRPr="00A80C35" w:rsidRDefault="00A80C35" w:rsidP="00A80C35">
      <w:pPr>
        <w:numPr>
          <w:ilvl w:val="0"/>
          <w:numId w:val="3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владеют имуществом, которое полностью или частично образовано некоммерческой организацией;</w:t>
      </w:r>
    </w:p>
    <w:p w:rsidR="00A80C35" w:rsidRPr="00A80C35" w:rsidRDefault="00A80C35" w:rsidP="00A80C35">
      <w:pPr>
        <w:numPr>
          <w:ilvl w:val="0"/>
          <w:numId w:val="3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могут извлекать выгоду из пользования, распоряжения имуществом некоммерческой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В целях урегулирования конфликта интересов Федеральный закон №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A80C35" w:rsidRPr="00A80C35" w:rsidRDefault="00A80C35" w:rsidP="00A80C35">
      <w:pPr>
        <w:numPr>
          <w:ilvl w:val="0"/>
          <w:numId w:val="3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A80C35" w:rsidRPr="00A80C35" w:rsidRDefault="00A80C35" w:rsidP="00A80C35">
      <w:pPr>
        <w:numPr>
          <w:ilvl w:val="0"/>
          <w:numId w:val="3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противном случае сделка может быть признана недействительной.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часть 3 статьи 8 Федерального закона от 1 декабря 2007 г. № 315-ФЗ «О саморегулируемых организациях»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соответствии с частью 6 статьи 6 Федерального закона №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Федеральный закон № 315-ФЗ не определяет конкретных мер по предотвращению и урегулированию конфликта интересов. Согласно части 5 статьи 8  Федерального закона №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частью 3 статьи 17 Федерального закона №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t>4.2. Возможные организационные меры по регулированию и предотвращению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цели и задачи положения о конфликте интересов;</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используемые в положении понятия и определения;</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круг лиц, попадающих под действие положения;</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основные принципы управления конфликтом интересов в организации;</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обязанности работников в связи с раскрытием и урегулированием конфликта интересов;</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определение лиц, ответственных за прием сведений о возникшем конфликте интересов и рассмотрение этих сведений;</w:t>
      </w:r>
    </w:p>
    <w:p w:rsidR="00A80C35" w:rsidRPr="00A80C35" w:rsidRDefault="00A80C35" w:rsidP="00A80C35">
      <w:pPr>
        <w:numPr>
          <w:ilvl w:val="0"/>
          <w:numId w:val="3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ответственность работников за несоблюдение положения о конфликте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Круг лиц, попадающих под действие положения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Основные принципы управления конфликтом интересов в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основу работы по управлению конфликтом интересов в организации могут быть положены следующие принципы:</w:t>
      </w:r>
    </w:p>
    <w:p w:rsidR="00A80C35" w:rsidRPr="00A80C35" w:rsidRDefault="00A80C35" w:rsidP="00A80C35">
      <w:pPr>
        <w:numPr>
          <w:ilvl w:val="0"/>
          <w:numId w:val="3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обязательность раскрытия сведений о реальном или потенциальном конфликте интересов;</w:t>
      </w:r>
    </w:p>
    <w:p w:rsidR="00A80C35" w:rsidRPr="00A80C35" w:rsidRDefault="00A80C35" w:rsidP="00A80C35">
      <w:pPr>
        <w:numPr>
          <w:ilvl w:val="0"/>
          <w:numId w:val="3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A80C35" w:rsidRPr="00A80C35" w:rsidRDefault="00A80C35" w:rsidP="00A80C35">
      <w:pPr>
        <w:numPr>
          <w:ilvl w:val="0"/>
          <w:numId w:val="3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конфиденциальность процесса раскрытия сведений о конфликте интересов и процесса его урегулирования;</w:t>
      </w:r>
    </w:p>
    <w:p w:rsidR="00A80C35" w:rsidRPr="00A80C35" w:rsidRDefault="00A80C35" w:rsidP="00A80C35">
      <w:pPr>
        <w:numPr>
          <w:ilvl w:val="0"/>
          <w:numId w:val="3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соблюдение баланса интересов организации и работника при урегулировании конфликта интересов;</w:t>
      </w:r>
    </w:p>
    <w:p w:rsidR="00A80C35" w:rsidRPr="00A80C35" w:rsidRDefault="00A80C35" w:rsidP="00A80C35">
      <w:pPr>
        <w:numPr>
          <w:ilvl w:val="0"/>
          <w:numId w:val="38"/>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Примерный перечень ситуаций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Следует учитывать, что конфликт интересов может принимать множество различных форм. В Приложении 4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Обязанности работников в связи с раскрытием и урегулированием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A80C35" w:rsidRPr="00A80C35" w:rsidRDefault="00A80C35" w:rsidP="00A80C35">
      <w:pPr>
        <w:numPr>
          <w:ilvl w:val="0"/>
          <w:numId w:val="3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A80C35" w:rsidRPr="00A80C35" w:rsidRDefault="00A80C35" w:rsidP="00A80C35">
      <w:pPr>
        <w:numPr>
          <w:ilvl w:val="0"/>
          <w:numId w:val="3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избегать (по возможности) ситуаций и обстоятельств, которые могут привести к конфликту интересов;</w:t>
      </w:r>
    </w:p>
    <w:p w:rsidR="00A80C35" w:rsidRPr="00A80C35" w:rsidRDefault="00A80C35" w:rsidP="00A80C35">
      <w:pPr>
        <w:numPr>
          <w:ilvl w:val="0"/>
          <w:numId w:val="3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раскрывать возникший (реальный) или потенциальный конфликт интересов;</w:t>
      </w:r>
    </w:p>
    <w:p w:rsidR="00A80C35" w:rsidRPr="00A80C35" w:rsidRDefault="00A80C35" w:rsidP="00A80C35">
      <w:pPr>
        <w:numPr>
          <w:ilvl w:val="0"/>
          <w:numId w:val="39"/>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содействовать урегулированию возникшего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w:t>
      </w:r>
      <w:r w:rsidRPr="00A80C35">
        <w:rPr>
          <w:rFonts w:ascii="Arial" w:eastAsia="Times New Roman" w:hAnsi="Arial" w:cs="Arial"/>
          <w:color w:val="000000"/>
          <w:sz w:val="28"/>
          <w:szCs w:val="28"/>
        </w:rPr>
        <w:lastRenderedPageBreak/>
        <w:t>установление различных видов раскрытия конфликта интересов, в том числе:</w:t>
      </w:r>
    </w:p>
    <w:p w:rsidR="00A80C35" w:rsidRPr="00A80C35" w:rsidRDefault="00A80C35" w:rsidP="00A80C35">
      <w:pPr>
        <w:numPr>
          <w:ilvl w:val="0"/>
          <w:numId w:val="4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раскрытие сведений о конфликте интересов при приеме на работу;</w:t>
      </w:r>
    </w:p>
    <w:p w:rsidR="00A80C35" w:rsidRPr="00A80C35" w:rsidRDefault="00A80C35" w:rsidP="00A80C35">
      <w:pPr>
        <w:numPr>
          <w:ilvl w:val="0"/>
          <w:numId w:val="4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раскрытие сведений о конфликте интересов при назначении на новую должность;</w:t>
      </w:r>
    </w:p>
    <w:p w:rsidR="00A80C35" w:rsidRPr="00A80C35" w:rsidRDefault="00A80C35" w:rsidP="00A80C35">
      <w:pPr>
        <w:numPr>
          <w:ilvl w:val="0"/>
          <w:numId w:val="4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разовое раскрытие сведений по мере возникновения ситуаций конфликта интересов;</w:t>
      </w:r>
    </w:p>
    <w:p w:rsidR="00A80C35" w:rsidRPr="00A80C35" w:rsidRDefault="00A80C35" w:rsidP="00A80C35">
      <w:pPr>
        <w:numPr>
          <w:ilvl w:val="0"/>
          <w:numId w:val="4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Приложении 5 к настоящим Методическим рекомендациям приведена типовая декларация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ограничение доступа работника к конкретной информации, которая может затрагивать личные интересы работника;</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пересмотр и изменение функциональных обязанностей работника;</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отказ работника от своего личного интереса, порождающего конфликт с интересами организации;</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увольнение работника из организации по инициативе работника;</w:t>
      </w:r>
    </w:p>
    <w:p w:rsidR="00A80C35" w:rsidRPr="00A80C35" w:rsidRDefault="00A80C35" w:rsidP="00A80C35">
      <w:pPr>
        <w:numPr>
          <w:ilvl w:val="0"/>
          <w:numId w:val="41"/>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Определение лиц, ответственных за прием сведений о возникшем конфликте интересов и рассмотрение этих сведений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Определение должностных лиц, ответственных за прием сведений о возникающих (имеющихся) конфликтах интересов, является </w:t>
      </w:r>
      <w:r w:rsidRPr="00A80C35">
        <w:rPr>
          <w:rFonts w:ascii="Arial" w:eastAsia="Times New Roman" w:hAnsi="Arial" w:cs="Arial"/>
          <w:color w:val="000000"/>
          <w:sz w:val="28"/>
          <w:szCs w:val="28"/>
        </w:rPr>
        <w:lastRenderedPageBreak/>
        <w:t>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3" w:name="_Toc369706635"/>
      <w:bookmarkEnd w:id="13"/>
      <w:r w:rsidRPr="00A80C35">
        <w:rPr>
          <w:rFonts w:ascii="Arial" w:eastAsia="Times New Roman" w:hAnsi="Arial" w:cs="Arial"/>
          <w:color w:val="000000"/>
          <w:sz w:val="28"/>
          <w:szCs w:val="28"/>
        </w:rPr>
        <w:t>5. Разработка и внедрение в практику стандартов и процедур, направленных на обеспечение добросовестной работы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соблюдение высоких этических стандартов поведения;</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поддержание высоких стандартов профессиональной деятельности;</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следование лучшим практикам корпоративного управления;</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создание и поддержание атмосферы доверия и взаимного уважения;</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следование принципу добросовестной конкуренции;</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следование принципу социальной ответственности бизнеса;</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соблюдение законности и принятых на себя договорных обязательств;</w:t>
      </w:r>
    </w:p>
    <w:p w:rsidR="00A80C35" w:rsidRPr="00A80C35" w:rsidRDefault="00A80C35" w:rsidP="00A80C35">
      <w:pPr>
        <w:numPr>
          <w:ilvl w:val="0"/>
          <w:numId w:val="4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соблюдение принципов объективности и честности при принятии кадровых решений.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4" w:name="_Toc369706636"/>
      <w:bookmarkEnd w:id="14"/>
      <w:r w:rsidRPr="00A80C35">
        <w:rPr>
          <w:rFonts w:ascii="Arial" w:eastAsia="Times New Roman" w:hAnsi="Arial" w:cs="Arial"/>
          <w:color w:val="000000"/>
          <w:sz w:val="28"/>
          <w:szCs w:val="28"/>
        </w:rPr>
        <w:t>6. Консультирование и обучение работников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Цели и задачи обучения определяют тематику и форму занятий. Обучение может, в частности, проводится по следующей тематике:</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коррупция в государственном и частном секторах экономики (теоретическая);</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юридическая ответственность за совершение коррупционных правонарушений;</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выявление и разрешение конфликта интересов при выполнении трудовых обязанностей (прикладная);</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80C35" w:rsidRPr="00A80C35" w:rsidRDefault="00A80C35" w:rsidP="00A80C35">
      <w:pPr>
        <w:numPr>
          <w:ilvl w:val="0"/>
          <w:numId w:val="4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взаимодействие с правоохранительными органами по вопросам профилактики и противодействия коррупции (прикладная).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зависимости от времени проведения можно выделить следующие виды обучения:</w:t>
      </w:r>
    </w:p>
    <w:p w:rsidR="00A80C35" w:rsidRPr="00A80C35" w:rsidRDefault="00A80C35" w:rsidP="00A80C35">
      <w:pPr>
        <w:numPr>
          <w:ilvl w:val="0"/>
          <w:numId w:val="4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обучение по вопросам профилактики и противодействия коррупции непосредственно после приема на работу;</w:t>
      </w:r>
    </w:p>
    <w:p w:rsidR="00A80C35" w:rsidRPr="00A80C35" w:rsidRDefault="00A80C35" w:rsidP="00A80C35">
      <w:pPr>
        <w:numPr>
          <w:ilvl w:val="0"/>
          <w:numId w:val="4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80C35" w:rsidRPr="00A80C35" w:rsidRDefault="00A80C35" w:rsidP="00A80C35">
      <w:pPr>
        <w:numPr>
          <w:ilvl w:val="0"/>
          <w:numId w:val="4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A80C35" w:rsidRPr="00A80C35" w:rsidRDefault="00A80C35" w:rsidP="00A80C35">
      <w:pPr>
        <w:numPr>
          <w:ilvl w:val="0"/>
          <w:numId w:val="4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5" w:name="_Toc369706637"/>
      <w:bookmarkEnd w:id="15"/>
      <w:r w:rsidRPr="00A80C35">
        <w:rPr>
          <w:rFonts w:ascii="Arial" w:eastAsia="Times New Roman" w:hAnsi="Arial" w:cs="Arial"/>
          <w:color w:val="000000"/>
          <w:sz w:val="28"/>
          <w:szCs w:val="28"/>
        </w:rPr>
        <w:t>7. Внутренний контроль и аудит</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Федеральным законом от 6 декабря 2011 г. № 402-ФЗ</w:t>
      </w:r>
      <w:r w:rsidRPr="00A80C35">
        <w:rPr>
          <w:rFonts w:ascii="Arial" w:eastAsia="Times New Roman" w:hAnsi="Arial" w:cs="Arial"/>
          <w:color w:val="000000"/>
          <w:sz w:val="28"/>
          <w:szCs w:val="28"/>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A80C35" w:rsidRPr="00A80C35" w:rsidRDefault="00A80C35" w:rsidP="00A80C35">
      <w:pPr>
        <w:numPr>
          <w:ilvl w:val="0"/>
          <w:numId w:val="4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80C35" w:rsidRPr="00A80C35" w:rsidRDefault="00A80C35" w:rsidP="00A80C35">
      <w:pPr>
        <w:numPr>
          <w:ilvl w:val="0"/>
          <w:numId w:val="4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контроль документирования операций хозяйственной деятельности организации;</w:t>
      </w:r>
    </w:p>
    <w:p w:rsidR="00A80C35" w:rsidRPr="00A80C35" w:rsidRDefault="00A80C35" w:rsidP="00A80C35">
      <w:pPr>
        <w:numPr>
          <w:ilvl w:val="0"/>
          <w:numId w:val="45"/>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проверка экономической обоснованности осуществляемых операций в сферах коррупционного риска.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w:t>
      </w:r>
      <w:r w:rsidRPr="00A80C35">
        <w:rPr>
          <w:rFonts w:ascii="Arial" w:eastAsia="Times New Roman" w:hAnsi="Arial" w:cs="Arial"/>
          <w:color w:val="000000"/>
          <w:sz w:val="28"/>
          <w:szCs w:val="28"/>
        </w:rPr>
        <w:lastRenderedPageBreak/>
        <w:t>уничтожения документов и отчетности ранее установленного срока и т.д.</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80C35" w:rsidRPr="00A80C35" w:rsidRDefault="00A80C35" w:rsidP="00A80C35">
      <w:pPr>
        <w:numPr>
          <w:ilvl w:val="0"/>
          <w:numId w:val="4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оплата услуг, характер которых не определен либо вызывает сомнения;</w:t>
      </w:r>
    </w:p>
    <w:p w:rsidR="00A80C35" w:rsidRPr="00A80C35" w:rsidRDefault="00A80C35" w:rsidP="00A80C35">
      <w:pPr>
        <w:numPr>
          <w:ilvl w:val="0"/>
          <w:numId w:val="4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80C35" w:rsidRPr="00A80C35" w:rsidRDefault="00A80C35" w:rsidP="00A80C35">
      <w:pPr>
        <w:numPr>
          <w:ilvl w:val="0"/>
          <w:numId w:val="4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80C35" w:rsidRPr="00A80C35" w:rsidRDefault="00A80C35" w:rsidP="00A80C35">
      <w:pPr>
        <w:numPr>
          <w:ilvl w:val="0"/>
          <w:numId w:val="4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закупки или продажи по ценам, значительно отличающимся от рыночных;</w:t>
      </w:r>
    </w:p>
    <w:p w:rsidR="00A80C35" w:rsidRPr="00A80C35" w:rsidRDefault="00A80C35" w:rsidP="00A80C35">
      <w:pPr>
        <w:numPr>
          <w:ilvl w:val="0"/>
          <w:numId w:val="46"/>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сомнительные платежи наличными.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80C35" w:rsidRPr="00A80C35" w:rsidRDefault="00A80C35" w:rsidP="00A80C35">
      <w:pPr>
        <w:numPr>
          <w:ilvl w:val="0"/>
          <w:numId w:val="4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приобретение, владение или использование имущества, если известно, что такое имущество представляет собой доходы от преступлений;</w:t>
      </w:r>
    </w:p>
    <w:p w:rsidR="00A80C35" w:rsidRPr="00A80C35" w:rsidRDefault="00A80C35" w:rsidP="00A80C35">
      <w:pPr>
        <w:numPr>
          <w:ilvl w:val="0"/>
          <w:numId w:val="47"/>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w:t>
      </w:r>
      <w:r w:rsidRPr="00A80C35">
        <w:rPr>
          <w:rFonts w:ascii="Arial" w:eastAsia="Times New Roman" w:hAnsi="Arial" w:cs="Arial"/>
          <w:color w:val="000000"/>
          <w:sz w:val="28"/>
          <w:szCs w:val="28"/>
        </w:rPr>
        <w:lastRenderedPageBreak/>
        <w:t>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6" w:name="_Toc369706638"/>
      <w:bookmarkEnd w:id="16"/>
      <w:r w:rsidRPr="00A80C35">
        <w:rPr>
          <w:rFonts w:ascii="Arial" w:eastAsia="Times New Roman" w:hAnsi="Arial" w:cs="Arial"/>
          <w:color w:val="000000"/>
          <w:sz w:val="28"/>
          <w:szCs w:val="28"/>
        </w:rPr>
        <w:t>8. Принятие мер по предупреждению коррупции при взаимодействии с организациями-контрагентами и в зависимых организациях</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A80C35" w:rsidRPr="00A80C35" w:rsidRDefault="00A80C35" w:rsidP="00A80C35">
      <w:pPr>
        <w:numPr>
          <w:ilvl w:val="0"/>
          <w:numId w:val="48"/>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b/>
          <w:bCs/>
          <w:color w:val="000000"/>
          <w:sz w:val="28"/>
          <w:szCs w:val="28"/>
        </w:rPr>
        <w:t>Взаимодействие с государственными органами, осуществляющими контрольно-надзорные функции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A80C35" w:rsidRPr="00A80C35" w:rsidRDefault="00A80C35" w:rsidP="00A80C35">
      <w:pPr>
        <w:numPr>
          <w:ilvl w:val="0"/>
          <w:numId w:val="49"/>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Получение подарков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частности, ограничения установлены в отношении возможности получения государственными служащими подарков. 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i/>
          <w:iCs/>
          <w:color w:val="000000"/>
          <w:sz w:val="28"/>
          <w:szCs w:val="28"/>
        </w:rPr>
        <w:t>Предотвращение конфликта интересов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w:t>
      </w:r>
      <w:r w:rsidRPr="00A80C35">
        <w:rPr>
          <w:rFonts w:ascii="Arial" w:eastAsia="Times New Roman" w:hAnsi="Arial" w:cs="Arial"/>
          <w:color w:val="000000"/>
          <w:sz w:val="28"/>
          <w:szCs w:val="28"/>
        </w:rPr>
        <w:lastRenderedPageBreak/>
        <w:t>государства, способное привести к причинению вреда правам и законным интересам граждан, организаций, общества или государства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bookmarkStart w:id="17" w:name="_ftnref2"/>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"_ftn2"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[2]</w:t>
      </w:r>
      <w:r w:rsidRPr="00A80C35">
        <w:rPr>
          <w:rFonts w:ascii="Arial" w:eastAsia="Times New Roman" w:hAnsi="Arial" w:cs="Arial"/>
          <w:color w:val="000000"/>
          <w:sz w:val="28"/>
          <w:szCs w:val="28"/>
        </w:rPr>
        <w:fldChar w:fldCharType="end"/>
      </w:r>
      <w:bookmarkEnd w:id="17"/>
      <w:r w:rsidRPr="00A80C35">
        <w:rPr>
          <w:rFonts w:ascii="Arial" w:eastAsia="Times New Roman" w:hAnsi="Arial" w:cs="Arial"/>
          <w:color w:val="000000"/>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A80C35" w:rsidRPr="00A80C35" w:rsidRDefault="00A80C35" w:rsidP="00A80C35">
      <w:pPr>
        <w:numPr>
          <w:ilvl w:val="0"/>
          <w:numId w:val="5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A80C35" w:rsidRPr="00A80C35" w:rsidRDefault="00A80C35" w:rsidP="00A80C35">
      <w:pPr>
        <w:numPr>
          <w:ilvl w:val="0"/>
          <w:numId w:val="5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A80C35" w:rsidRPr="00A80C35" w:rsidRDefault="00A80C35" w:rsidP="00A80C35">
      <w:pPr>
        <w:numPr>
          <w:ilvl w:val="0"/>
          <w:numId w:val="5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A80C35" w:rsidRPr="00A80C35" w:rsidRDefault="00A80C35" w:rsidP="00A80C35">
      <w:pPr>
        <w:numPr>
          <w:ilvl w:val="0"/>
          <w:numId w:val="50"/>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A80C35" w:rsidRPr="00A80C35" w:rsidRDefault="00A80C35" w:rsidP="00A80C35">
      <w:pPr>
        <w:numPr>
          <w:ilvl w:val="0"/>
          <w:numId w:val="51"/>
        </w:numPr>
        <w:spacing w:after="150" w:line="240" w:lineRule="auto"/>
        <w:ind w:left="374"/>
        <w:jc w:val="both"/>
        <w:rPr>
          <w:rFonts w:ascii="Arial" w:eastAsia="Times New Roman" w:hAnsi="Arial" w:cs="Arial"/>
          <w:color w:val="000000"/>
          <w:sz w:val="28"/>
          <w:szCs w:val="28"/>
        </w:rPr>
      </w:pPr>
      <w:r w:rsidRPr="00A80C35">
        <w:rPr>
          <w:rFonts w:ascii="Arial" w:eastAsia="Times New Roman" w:hAnsi="Arial" w:cs="Arial"/>
          <w:color w:val="000000"/>
          <w:sz w:val="28"/>
          <w:szCs w:val="28"/>
        </w:rPr>
        <w:t xml:space="preserve">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w:t>
      </w:r>
      <w:r w:rsidRPr="00A80C35">
        <w:rPr>
          <w:rFonts w:ascii="Arial" w:eastAsia="Times New Roman" w:hAnsi="Arial" w:cs="Arial"/>
          <w:color w:val="000000"/>
          <w:sz w:val="28"/>
          <w:szCs w:val="28"/>
        </w:rPr>
        <w:lastRenderedPageBreak/>
        <w:t>или вымогательства взятки организация также может обратиться непосредственно в правоохранительные органы.</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8" w:name="_Toc369706639"/>
      <w:bookmarkEnd w:id="18"/>
      <w:r w:rsidRPr="00A80C35">
        <w:rPr>
          <w:rFonts w:ascii="Arial" w:eastAsia="Times New Roman" w:hAnsi="Arial" w:cs="Arial"/>
          <w:color w:val="000000"/>
          <w:sz w:val="28"/>
          <w:szCs w:val="28"/>
        </w:rPr>
        <w:t>10. Сотрудничество с правоохранительными органами в сфере противодействия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Сотрудничество с правоохранительными органами также может проявляться в форме:</w:t>
      </w:r>
    </w:p>
    <w:p w:rsidR="00A80C35" w:rsidRPr="00A80C35" w:rsidRDefault="00A80C35" w:rsidP="00A80C35">
      <w:pPr>
        <w:numPr>
          <w:ilvl w:val="0"/>
          <w:numId w:val="5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80C35" w:rsidRPr="00A80C35" w:rsidRDefault="00A80C35" w:rsidP="00A80C35">
      <w:pPr>
        <w:numPr>
          <w:ilvl w:val="0"/>
          <w:numId w:val="52"/>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outlineLvl w:val="1"/>
        <w:rPr>
          <w:rFonts w:ascii="Arial" w:eastAsia="Times New Roman" w:hAnsi="Arial" w:cs="Arial"/>
          <w:color w:val="000000"/>
          <w:sz w:val="28"/>
          <w:szCs w:val="28"/>
        </w:rPr>
      </w:pPr>
      <w:bookmarkStart w:id="19" w:name="_Toc369706640"/>
      <w:bookmarkEnd w:id="19"/>
      <w:r w:rsidRPr="00A80C35">
        <w:rPr>
          <w:rFonts w:ascii="Arial" w:eastAsia="Times New Roman" w:hAnsi="Arial" w:cs="Arial"/>
          <w:color w:val="000000"/>
          <w:sz w:val="28"/>
          <w:szCs w:val="28"/>
        </w:rPr>
        <w:t>11. Участие в коллективных инициативах по противодействию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В качестве совместных действий антикоррупционной направленности  рекомендуется участие в следующих мероприятиях:</w:t>
      </w:r>
    </w:p>
    <w:p w:rsidR="00A80C35" w:rsidRPr="00A80C35" w:rsidRDefault="00A80C35" w:rsidP="00A80C35">
      <w:pPr>
        <w:numPr>
          <w:ilvl w:val="0"/>
          <w:numId w:val="5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присоединение к Антикоррупционной хартии российского бизнеса</w:t>
      </w:r>
      <w:bookmarkStart w:id="20" w:name="_ftnref3"/>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"_ftn3"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[3]</w:t>
      </w:r>
      <w:r w:rsidRPr="00A80C35">
        <w:rPr>
          <w:rFonts w:ascii="Arial" w:eastAsia="Times New Roman" w:hAnsi="Arial" w:cs="Arial"/>
          <w:color w:val="000000"/>
          <w:sz w:val="28"/>
          <w:szCs w:val="28"/>
        </w:rPr>
        <w:fldChar w:fldCharType="end"/>
      </w:r>
      <w:bookmarkEnd w:id="20"/>
      <w:r w:rsidRPr="00A80C35">
        <w:rPr>
          <w:rFonts w:ascii="Arial" w:eastAsia="Times New Roman" w:hAnsi="Arial" w:cs="Arial"/>
          <w:color w:val="000000"/>
          <w:sz w:val="28"/>
          <w:szCs w:val="28"/>
        </w:rPr>
        <w:t>;</w:t>
      </w:r>
    </w:p>
    <w:p w:rsidR="00A80C35" w:rsidRPr="00A80C35" w:rsidRDefault="00A80C35" w:rsidP="00A80C35">
      <w:pPr>
        <w:numPr>
          <w:ilvl w:val="0"/>
          <w:numId w:val="5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использование в совместных договорах стандартных антикоррупционных оговорок;</w:t>
      </w:r>
    </w:p>
    <w:p w:rsidR="00A80C35" w:rsidRPr="00A80C35" w:rsidRDefault="00A80C35" w:rsidP="00A80C35">
      <w:pPr>
        <w:numPr>
          <w:ilvl w:val="0"/>
          <w:numId w:val="5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публичный отказ от совместной бизнес-деятельности с лицами (организациями), замешанными в коррупционных преступлениях;</w:t>
      </w:r>
    </w:p>
    <w:p w:rsidR="00A80C35" w:rsidRPr="00A80C35" w:rsidRDefault="00A80C35" w:rsidP="00A80C35">
      <w:pPr>
        <w:numPr>
          <w:ilvl w:val="0"/>
          <w:numId w:val="53"/>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организация и проведение совместного обучения по вопросам профилактики и противодействия коррупции.</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lastRenderedPageBreak/>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A80C35" w:rsidRPr="00A80C35" w:rsidRDefault="00A80C35" w:rsidP="00A80C35">
      <w:pPr>
        <w:numPr>
          <w:ilvl w:val="0"/>
          <w:numId w:val="5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Торгово-промышленной палатой Российской Федерации и ее региональными объединениями (</w:t>
      </w:r>
      <w:hyperlink r:id="rId18" w:history="1">
        <w:r w:rsidRPr="00A80C35">
          <w:rPr>
            <w:rFonts w:ascii="Arial" w:eastAsia="Times New Roman" w:hAnsi="Arial" w:cs="Arial"/>
            <w:color w:val="00923F"/>
            <w:sz w:val="28"/>
            <w:szCs w:val="28"/>
          </w:rPr>
          <w:t>www.tpprf.ru</w:t>
        </w:r>
      </w:hyperlink>
      <w:r w:rsidRPr="00A80C35">
        <w:rPr>
          <w:rFonts w:ascii="Arial" w:eastAsia="Times New Roman" w:hAnsi="Arial" w:cs="Arial"/>
          <w:color w:val="000000"/>
          <w:sz w:val="28"/>
          <w:szCs w:val="28"/>
        </w:rPr>
        <w:t>);</w:t>
      </w:r>
    </w:p>
    <w:p w:rsidR="00A80C35" w:rsidRPr="00A80C35" w:rsidRDefault="00A80C35" w:rsidP="00A80C35">
      <w:pPr>
        <w:numPr>
          <w:ilvl w:val="0"/>
          <w:numId w:val="5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Российским союзом промышленников и предпринимателей (</w:t>
      </w:r>
      <w:hyperlink r:id="rId19" w:history="1">
        <w:r w:rsidRPr="00A80C35">
          <w:rPr>
            <w:rFonts w:ascii="Arial" w:eastAsia="Times New Roman" w:hAnsi="Arial" w:cs="Arial"/>
            <w:color w:val="00923F"/>
            <w:sz w:val="28"/>
            <w:szCs w:val="28"/>
          </w:rPr>
          <w:t>www.rspp.ru</w:t>
        </w:r>
      </w:hyperlink>
      <w:r w:rsidRPr="00A80C35">
        <w:rPr>
          <w:rFonts w:ascii="Arial" w:eastAsia="Times New Roman" w:hAnsi="Arial" w:cs="Arial"/>
          <w:color w:val="000000"/>
          <w:sz w:val="28"/>
          <w:szCs w:val="28"/>
        </w:rPr>
        <w:t>);</w:t>
      </w:r>
    </w:p>
    <w:p w:rsidR="00A80C35" w:rsidRPr="00A80C35" w:rsidRDefault="00A80C35" w:rsidP="00A80C35">
      <w:pPr>
        <w:numPr>
          <w:ilvl w:val="0"/>
          <w:numId w:val="5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Общероссийской общественной организацией «Деловая Россия» (</w:t>
      </w:r>
      <w:hyperlink r:id="rId20" w:history="1">
        <w:r w:rsidRPr="00A80C35">
          <w:rPr>
            <w:rFonts w:ascii="Arial" w:eastAsia="Times New Roman" w:hAnsi="Arial" w:cs="Arial"/>
            <w:color w:val="00923F"/>
            <w:sz w:val="28"/>
            <w:szCs w:val="28"/>
          </w:rPr>
          <w:t>deloros.ru</w:t>
        </w:r>
      </w:hyperlink>
      <w:r w:rsidRPr="00A80C35">
        <w:rPr>
          <w:rFonts w:ascii="Arial" w:eastAsia="Times New Roman" w:hAnsi="Arial" w:cs="Arial"/>
          <w:color w:val="000000"/>
          <w:sz w:val="28"/>
          <w:szCs w:val="28"/>
        </w:rPr>
        <w:t>);</w:t>
      </w:r>
    </w:p>
    <w:p w:rsidR="00A80C35" w:rsidRPr="00A80C35" w:rsidRDefault="00A80C35" w:rsidP="00A80C35">
      <w:pPr>
        <w:numPr>
          <w:ilvl w:val="0"/>
          <w:numId w:val="54"/>
        </w:numPr>
        <w:pBdr>
          <w:left w:val="single" w:sz="36" w:space="15" w:color="B97121"/>
        </w:pBdr>
        <w:spacing w:after="150" w:line="240" w:lineRule="auto"/>
        <w:ind w:left="0"/>
        <w:jc w:val="both"/>
        <w:rPr>
          <w:rFonts w:ascii="Arial" w:eastAsia="Times New Roman" w:hAnsi="Arial" w:cs="Arial"/>
          <w:color w:val="000000"/>
          <w:sz w:val="28"/>
          <w:szCs w:val="28"/>
        </w:rPr>
      </w:pPr>
      <w:r w:rsidRPr="00A80C35">
        <w:rPr>
          <w:rFonts w:ascii="Arial" w:eastAsia="Times New Roman" w:hAnsi="Arial" w:cs="Arial"/>
          <w:color w:val="000000"/>
          <w:sz w:val="28"/>
          <w:szCs w:val="28"/>
        </w:rPr>
        <w:t>Общероссийской общественной организации малого и среднего предпринимательства «ОПОРА РОССИИ» (</w:t>
      </w:r>
      <w:hyperlink r:id="rId21" w:history="1">
        <w:r w:rsidRPr="00A80C35">
          <w:rPr>
            <w:rFonts w:ascii="Arial" w:eastAsia="Times New Roman" w:hAnsi="Arial" w:cs="Arial"/>
            <w:color w:val="00923F"/>
            <w:sz w:val="28"/>
            <w:szCs w:val="28"/>
          </w:rPr>
          <w:t>opora.ru</w:t>
        </w:r>
      </w:hyperlink>
      <w:r w:rsidRPr="00A80C35">
        <w:rPr>
          <w:rFonts w:ascii="Arial" w:eastAsia="Times New Roman" w:hAnsi="Arial" w:cs="Arial"/>
          <w:color w:val="000000"/>
          <w:sz w:val="28"/>
          <w:szCs w:val="28"/>
        </w:rPr>
        <w:t>).</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t> </w:t>
      </w:r>
    </w:p>
    <w:bookmarkStart w:id="21" w:name="_ftn1"/>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"_ftnref1"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[1]</w:t>
      </w:r>
      <w:r w:rsidRPr="00A80C35">
        <w:rPr>
          <w:rFonts w:ascii="Arial" w:eastAsia="Times New Roman" w:hAnsi="Arial" w:cs="Arial"/>
          <w:color w:val="000000"/>
          <w:sz w:val="28"/>
          <w:szCs w:val="28"/>
        </w:rPr>
        <w:fldChar w:fldCharType="end"/>
      </w:r>
      <w:bookmarkEnd w:id="21"/>
      <w:r w:rsidRPr="00A80C35">
        <w:rPr>
          <w:rFonts w:ascii="Arial" w:eastAsia="Times New Roman" w:hAnsi="Arial" w:cs="Arial"/>
          <w:color w:val="000000"/>
          <w:sz w:val="28"/>
          <w:szCs w:val="28"/>
        </w:rPr>
        <w:t>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22" w:history="1">
        <w:r w:rsidRPr="00A80C35">
          <w:rPr>
            <w:rFonts w:ascii="Arial" w:eastAsia="Times New Roman" w:hAnsi="Arial" w:cs="Arial"/>
            <w:color w:val="00923F"/>
            <w:sz w:val="28"/>
            <w:szCs w:val="28"/>
          </w:rPr>
          <w:t>http://www.rosmintrud.ru/ministry/programms/gossluzhba/antikorr/1</w:t>
        </w:r>
      </w:hyperlink>
      <w:r w:rsidRPr="00A80C35">
        <w:rPr>
          <w:rFonts w:ascii="Arial" w:eastAsia="Times New Roman" w:hAnsi="Arial" w:cs="Arial"/>
          <w:color w:val="000000"/>
          <w:sz w:val="28"/>
          <w:szCs w:val="28"/>
        </w:rPr>
        <w:t>.</w:t>
      </w:r>
    </w:p>
    <w:bookmarkStart w:id="22" w:name="_ftn2"/>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"_ftnref2"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[2]</w:t>
      </w:r>
      <w:r w:rsidRPr="00A80C35">
        <w:rPr>
          <w:rFonts w:ascii="Arial" w:eastAsia="Times New Roman" w:hAnsi="Arial" w:cs="Arial"/>
          <w:color w:val="000000"/>
          <w:sz w:val="28"/>
          <w:szCs w:val="28"/>
        </w:rPr>
        <w:fldChar w:fldCharType="end"/>
      </w:r>
      <w:bookmarkEnd w:id="22"/>
      <w:r w:rsidRPr="00A80C35">
        <w:rPr>
          <w:rFonts w:ascii="Arial" w:eastAsia="Times New Roman" w:hAnsi="Arial" w:cs="Arial"/>
          <w:color w:val="000000"/>
          <w:sz w:val="28"/>
          <w:szCs w:val="28"/>
        </w:rPr>
        <w:t> Текст Обзора размещен на официальном сайте Министерства труда и социальной защиты Российской Федерации (</w:t>
      </w:r>
      <w:hyperlink r:id="rId23" w:history="1">
        <w:r w:rsidRPr="00A80C35">
          <w:rPr>
            <w:rFonts w:ascii="Arial" w:eastAsia="Times New Roman" w:hAnsi="Arial" w:cs="Arial"/>
            <w:color w:val="00923F"/>
            <w:sz w:val="28"/>
            <w:szCs w:val="28"/>
          </w:rPr>
          <w:t>http://www.rosmintrud.ru/ministry/programms/gossluzhba/antikorr/2/2</w:t>
        </w:r>
      </w:hyperlink>
      <w:r w:rsidRPr="00A80C35">
        <w:rPr>
          <w:rFonts w:ascii="Arial" w:eastAsia="Times New Roman" w:hAnsi="Arial" w:cs="Arial"/>
          <w:color w:val="000000"/>
          <w:sz w:val="28"/>
          <w:szCs w:val="28"/>
        </w:rPr>
        <w:t>).</w:t>
      </w:r>
    </w:p>
    <w:bookmarkStart w:id="23" w:name="_ftn3"/>
    <w:p w:rsidR="00A80C35" w:rsidRPr="00A80C35" w:rsidRDefault="00A80C35" w:rsidP="00A80C35">
      <w:pPr>
        <w:spacing w:after="224" w:line="240" w:lineRule="auto"/>
        <w:jc w:val="both"/>
        <w:rPr>
          <w:rFonts w:ascii="Arial" w:eastAsia="Times New Roman" w:hAnsi="Arial" w:cs="Arial"/>
          <w:color w:val="000000"/>
          <w:sz w:val="28"/>
          <w:szCs w:val="28"/>
        </w:rPr>
      </w:pPr>
      <w:r w:rsidRPr="00A80C35">
        <w:rPr>
          <w:rFonts w:ascii="Arial" w:eastAsia="Times New Roman" w:hAnsi="Arial" w:cs="Arial"/>
          <w:color w:val="000000"/>
          <w:sz w:val="28"/>
          <w:szCs w:val="28"/>
        </w:rPr>
        <w:fldChar w:fldCharType="begin"/>
      </w:r>
      <w:r w:rsidRPr="00A80C35">
        <w:rPr>
          <w:rFonts w:ascii="Arial" w:eastAsia="Times New Roman" w:hAnsi="Arial" w:cs="Arial"/>
          <w:color w:val="000000"/>
          <w:sz w:val="28"/>
          <w:szCs w:val="28"/>
        </w:rPr>
        <w:instrText xml:space="preserve"> HYPERLINK "https://meshovsk.ru/metodicheskie-rekomendatcii.html" \l "_ftnref3" </w:instrText>
      </w:r>
      <w:r w:rsidRPr="00A80C35">
        <w:rPr>
          <w:rFonts w:ascii="Arial" w:eastAsia="Times New Roman" w:hAnsi="Arial" w:cs="Arial"/>
          <w:color w:val="000000"/>
          <w:sz w:val="28"/>
          <w:szCs w:val="28"/>
        </w:rPr>
        <w:fldChar w:fldCharType="separate"/>
      </w:r>
      <w:r w:rsidRPr="00A80C35">
        <w:rPr>
          <w:rFonts w:ascii="Arial" w:eastAsia="Times New Roman" w:hAnsi="Arial" w:cs="Arial"/>
          <w:color w:val="00923F"/>
          <w:sz w:val="28"/>
          <w:szCs w:val="28"/>
        </w:rPr>
        <w:t>[3]</w:t>
      </w:r>
      <w:r w:rsidRPr="00A80C35">
        <w:rPr>
          <w:rFonts w:ascii="Arial" w:eastAsia="Times New Roman" w:hAnsi="Arial" w:cs="Arial"/>
          <w:color w:val="000000"/>
          <w:sz w:val="28"/>
          <w:szCs w:val="28"/>
        </w:rPr>
        <w:fldChar w:fldCharType="end"/>
      </w:r>
      <w:bookmarkEnd w:id="23"/>
      <w:r w:rsidRPr="00A80C35">
        <w:rPr>
          <w:rFonts w:ascii="Arial" w:eastAsia="Times New Roman" w:hAnsi="Arial" w:cs="Arial"/>
          <w:color w:val="000000"/>
          <w:sz w:val="28"/>
          <w:szCs w:val="28"/>
        </w:rPr>
        <w:t> Текст Антикоррупционной хартии и Дорожная карта, описывающая механизм присоединения к хартии,  приведены в приложении 5 к Методическим рекомендациям.</w:t>
      </w:r>
    </w:p>
    <w:p w:rsidR="001E6469" w:rsidRPr="00A80C35" w:rsidRDefault="001E6469" w:rsidP="00A80C35">
      <w:pPr>
        <w:jc w:val="both"/>
        <w:rPr>
          <w:sz w:val="28"/>
          <w:szCs w:val="28"/>
        </w:rPr>
      </w:pPr>
    </w:p>
    <w:sectPr w:rsidR="001E6469" w:rsidRPr="00A80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0E0D"/>
    <w:multiLevelType w:val="multilevel"/>
    <w:tmpl w:val="807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04F69"/>
    <w:multiLevelType w:val="multilevel"/>
    <w:tmpl w:val="70FE5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4536A"/>
    <w:multiLevelType w:val="multilevel"/>
    <w:tmpl w:val="964A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745B8"/>
    <w:multiLevelType w:val="multilevel"/>
    <w:tmpl w:val="E8B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83E53"/>
    <w:multiLevelType w:val="multilevel"/>
    <w:tmpl w:val="7A1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F47DB"/>
    <w:multiLevelType w:val="multilevel"/>
    <w:tmpl w:val="A40A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032C7"/>
    <w:multiLevelType w:val="multilevel"/>
    <w:tmpl w:val="98A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D00C6"/>
    <w:multiLevelType w:val="multilevel"/>
    <w:tmpl w:val="AE3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163D1"/>
    <w:multiLevelType w:val="multilevel"/>
    <w:tmpl w:val="062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7E77FD"/>
    <w:multiLevelType w:val="multilevel"/>
    <w:tmpl w:val="3E9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046C9A"/>
    <w:multiLevelType w:val="multilevel"/>
    <w:tmpl w:val="592EB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DF7BBE"/>
    <w:multiLevelType w:val="multilevel"/>
    <w:tmpl w:val="09F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057E13"/>
    <w:multiLevelType w:val="multilevel"/>
    <w:tmpl w:val="DA56B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447515"/>
    <w:multiLevelType w:val="multilevel"/>
    <w:tmpl w:val="054E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630C8A"/>
    <w:multiLevelType w:val="multilevel"/>
    <w:tmpl w:val="968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94CB6"/>
    <w:multiLevelType w:val="multilevel"/>
    <w:tmpl w:val="386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8C2AEF"/>
    <w:multiLevelType w:val="multilevel"/>
    <w:tmpl w:val="8DC2BC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326A1"/>
    <w:multiLevelType w:val="multilevel"/>
    <w:tmpl w:val="6A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27AE3"/>
    <w:multiLevelType w:val="multilevel"/>
    <w:tmpl w:val="476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284213"/>
    <w:multiLevelType w:val="multilevel"/>
    <w:tmpl w:val="3A1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85B60"/>
    <w:multiLevelType w:val="multilevel"/>
    <w:tmpl w:val="9B7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A33A47"/>
    <w:multiLevelType w:val="multilevel"/>
    <w:tmpl w:val="EA0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E56DC9"/>
    <w:multiLevelType w:val="multilevel"/>
    <w:tmpl w:val="340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2B6F74"/>
    <w:multiLevelType w:val="multilevel"/>
    <w:tmpl w:val="EE4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8B7BCC"/>
    <w:multiLevelType w:val="multilevel"/>
    <w:tmpl w:val="1DA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874F1A"/>
    <w:multiLevelType w:val="multilevel"/>
    <w:tmpl w:val="BFA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463F8"/>
    <w:multiLevelType w:val="multilevel"/>
    <w:tmpl w:val="DBA6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AF1085"/>
    <w:multiLevelType w:val="multilevel"/>
    <w:tmpl w:val="DA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343E0F"/>
    <w:multiLevelType w:val="multilevel"/>
    <w:tmpl w:val="F2F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4A1C36"/>
    <w:multiLevelType w:val="multilevel"/>
    <w:tmpl w:val="E0E6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DF5B4E"/>
    <w:multiLevelType w:val="multilevel"/>
    <w:tmpl w:val="135C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E628C"/>
    <w:multiLevelType w:val="multilevel"/>
    <w:tmpl w:val="9B9C2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177185"/>
    <w:multiLevelType w:val="multilevel"/>
    <w:tmpl w:val="8F12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4B3607"/>
    <w:multiLevelType w:val="multilevel"/>
    <w:tmpl w:val="CBA2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333D1B"/>
    <w:multiLevelType w:val="multilevel"/>
    <w:tmpl w:val="EAC2C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B63A5C"/>
    <w:multiLevelType w:val="multilevel"/>
    <w:tmpl w:val="2B6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652EB0"/>
    <w:multiLevelType w:val="multilevel"/>
    <w:tmpl w:val="A8FC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2D7C6B"/>
    <w:multiLevelType w:val="multilevel"/>
    <w:tmpl w:val="B2B2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125530"/>
    <w:multiLevelType w:val="multilevel"/>
    <w:tmpl w:val="8E3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5D6ED3"/>
    <w:multiLevelType w:val="multilevel"/>
    <w:tmpl w:val="A5B46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A308CA"/>
    <w:multiLevelType w:val="multilevel"/>
    <w:tmpl w:val="CBC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9C47DC"/>
    <w:multiLevelType w:val="multilevel"/>
    <w:tmpl w:val="F56E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483E7A"/>
    <w:multiLevelType w:val="multilevel"/>
    <w:tmpl w:val="3B6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CD34FC"/>
    <w:multiLevelType w:val="multilevel"/>
    <w:tmpl w:val="B43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C2612D"/>
    <w:multiLevelType w:val="multilevel"/>
    <w:tmpl w:val="94BC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DF2280"/>
    <w:multiLevelType w:val="multilevel"/>
    <w:tmpl w:val="69DA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B37193"/>
    <w:multiLevelType w:val="multilevel"/>
    <w:tmpl w:val="BFD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6215DB"/>
    <w:multiLevelType w:val="multilevel"/>
    <w:tmpl w:val="2F5C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2857D5"/>
    <w:multiLevelType w:val="multilevel"/>
    <w:tmpl w:val="A90226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C60EB3"/>
    <w:multiLevelType w:val="multilevel"/>
    <w:tmpl w:val="29B2F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B50245D"/>
    <w:multiLevelType w:val="multilevel"/>
    <w:tmpl w:val="99B8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5478C8"/>
    <w:multiLevelType w:val="multilevel"/>
    <w:tmpl w:val="B6C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AC7188"/>
    <w:multiLevelType w:val="multilevel"/>
    <w:tmpl w:val="A31ABB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4D54F15"/>
    <w:multiLevelType w:val="multilevel"/>
    <w:tmpl w:val="208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2"/>
  </w:num>
  <w:num w:numId="3">
    <w:abstractNumId w:val="35"/>
  </w:num>
  <w:num w:numId="4">
    <w:abstractNumId w:val="17"/>
  </w:num>
  <w:num w:numId="5">
    <w:abstractNumId w:val="38"/>
  </w:num>
  <w:num w:numId="6">
    <w:abstractNumId w:val="34"/>
  </w:num>
  <w:num w:numId="7">
    <w:abstractNumId w:val="18"/>
  </w:num>
  <w:num w:numId="8">
    <w:abstractNumId w:val="13"/>
  </w:num>
  <w:num w:numId="9">
    <w:abstractNumId w:val="1"/>
  </w:num>
  <w:num w:numId="10">
    <w:abstractNumId w:val="12"/>
  </w:num>
  <w:num w:numId="11">
    <w:abstractNumId w:val="10"/>
  </w:num>
  <w:num w:numId="12">
    <w:abstractNumId w:val="49"/>
  </w:num>
  <w:num w:numId="13">
    <w:abstractNumId w:val="39"/>
  </w:num>
  <w:num w:numId="14">
    <w:abstractNumId w:val="48"/>
  </w:num>
  <w:num w:numId="15">
    <w:abstractNumId w:val="16"/>
  </w:num>
  <w:num w:numId="16">
    <w:abstractNumId w:val="2"/>
  </w:num>
  <w:num w:numId="17">
    <w:abstractNumId w:val="3"/>
  </w:num>
  <w:num w:numId="18">
    <w:abstractNumId w:val="14"/>
  </w:num>
  <w:num w:numId="19">
    <w:abstractNumId w:val="37"/>
  </w:num>
  <w:num w:numId="20">
    <w:abstractNumId w:val="15"/>
  </w:num>
  <w:num w:numId="21">
    <w:abstractNumId w:val="26"/>
  </w:num>
  <w:num w:numId="22">
    <w:abstractNumId w:val="5"/>
  </w:num>
  <w:num w:numId="23">
    <w:abstractNumId w:val="28"/>
  </w:num>
  <w:num w:numId="24">
    <w:abstractNumId w:val="46"/>
  </w:num>
  <w:num w:numId="25">
    <w:abstractNumId w:val="21"/>
  </w:num>
  <w:num w:numId="26">
    <w:abstractNumId w:val="53"/>
  </w:num>
  <w:num w:numId="27">
    <w:abstractNumId w:val="8"/>
  </w:num>
  <w:num w:numId="28">
    <w:abstractNumId w:val="29"/>
  </w:num>
  <w:num w:numId="29">
    <w:abstractNumId w:val="43"/>
  </w:num>
  <w:num w:numId="30">
    <w:abstractNumId w:val="33"/>
  </w:num>
  <w:num w:numId="31">
    <w:abstractNumId w:val="20"/>
  </w:num>
  <w:num w:numId="32">
    <w:abstractNumId w:val="30"/>
  </w:num>
  <w:num w:numId="33">
    <w:abstractNumId w:val="4"/>
  </w:num>
  <w:num w:numId="34">
    <w:abstractNumId w:val="25"/>
  </w:num>
  <w:num w:numId="35">
    <w:abstractNumId w:val="41"/>
  </w:num>
  <w:num w:numId="36">
    <w:abstractNumId w:val="23"/>
  </w:num>
  <w:num w:numId="37">
    <w:abstractNumId w:val="27"/>
  </w:num>
  <w:num w:numId="38">
    <w:abstractNumId w:val="22"/>
  </w:num>
  <w:num w:numId="39">
    <w:abstractNumId w:val="24"/>
  </w:num>
  <w:num w:numId="40">
    <w:abstractNumId w:val="47"/>
  </w:num>
  <w:num w:numId="41">
    <w:abstractNumId w:val="32"/>
  </w:num>
  <w:num w:numId="42">
    <w:abstractNumId w:val="40"/>
  </w:num>
  <w:num w:numId="43">
    <w:abstractNumId w:val="7"/>
  </w:num>
  <w:num w:numId="44">
    <w:abstractNumId w:val="11"/>
  </w:num>
  <w:num w:numId="45">
    <w:abstractNumId w:val="51"/>
  </w:num>
  <w:num w:numId="46">
    <w:abstractNumId w:val="6"/>
  </w:num>
  <w:num w:numId="47">
    <w:abstractNumId w:val="19"/>
  </w:num>
  <w:num w:numId="48">
    <w:abstractNumId w:val="52"/>
  </w:num>
  <w:num w:numId="49">
    <w:abstractNumId w:val="44"/>
  </w:num>
  <w:num w:numId="50">
    <w:abstractNumId w:val="0"/>
  </w:num>
  <w:num w:numId="51">
    <w:abstractNumId w:val="31"/>
  </w:num>
  <w:num w:numId="52">
    <w:abstractNumId w:val="36"/>
  </w:num>
  <w:num w:numId="53">
    <w:abstractNumId w:val="45"/>
  </w:num>
  <w:num w:numId="54">
    <w:abstractNumId w:val="5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A80C35"/>
    <w:rsid w:val="001E6469"/>
    <w:rsid w:val="00A80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0C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80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C3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80C35"/>
    <w:rPr>
      <w:rFonts w:ascii="Times New Roman" w:eastAsia="Times New Roman" w:hAnsi="Times New Roman" w:cs="Times New Roman"/>
      <w:b/>
      <w:bCs/>
      <w:sz w:val="36"/>
      <w:szCs w:val="36"/>
    </w:rPr>
  </w:style>
  <w:style w:type="paragraph" w:styleId="a3">
    <w:name w:val="Normal (Web)"/>
    <w:basedOn w:val="a"/>
    <w:uiPriority w:val="99"/>
    <w:unhideWhenUsed/>
    <w:rsid w:val="00A80C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0C35"/>
    <w:rPr>
      <w:b/>
      <w:bCs/>
    </w:rPr>
  </w:style>
  <w:style w:type="character" w:styleId="a5">
    <w:name w:val="Emphasis"/>
    <w:basedOn w:val="a0"/>
    <w:uiPriority w:val="20"/>
    <w:qFormat/>
    <w:rsid w:val="00A80C35"/>
    <w:rPr>
      <w:i/>
      <w:iCs/>
    </w:rPr>
  </w:style>
  <w:style w:type="character" w:styleId="a6">
    <w:name w:val="Hyperlink"/>
    <w:basedOn w:val="a0"/>
    <w:uiPriority w:val="99"/>
    <w:semiHidden/>
    <w:unhideWhenUsed/>
    <w:rsid w:val="00A80C35"/>
    <w:rPr>
      <w:color w:val="0000FF"/>
      <w:u w:val="single"/>
    </w:rPr>
  </w:style>
  <w:style w:type="character" w:styleId="a7">
    <w:name w:val="FollowedHyperlink"/>
    <w:basedOn w:val="a0"/>
    <w:uiPriority w:val="99"/>
    <w:semiHidden/>
    <w:unhideWhenUsed/>
    <w:rsid w:val="00A80C35"/>
    <w:rPr>
      <w:color w:val="800080"/>
      <w:u w:val="single"/>
    </w:rPr>
  </w:style>
</w:styles>
</file>

<file path=word/webSettings.xml><?xml version="1.0" encoding="utf-8"?>
<w:webSettings xmlns:r="http://schemas.openxmlformats.org/officeDocument/2006/relationships" xmlns:w="http://schemas.openxmlformats.org/wordprocessingml/2006/main">
  <w:divs>
    <w:div w:id="20703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84E8E6FEAA5EBC247212AB3C74B337F35D86584E585C3V8S3L" TargetMode="External"/><Relationship Id="rId13" Type="http://schemas.openxmlformats.org/officeDocument/2006/relationships/hyperlink" Target="https://meshovsk.ru/metodicheskie-rekomendatcii.html" TargetMode="External"/><Relationship Id="rId18" Type="http://schemas.openxmlformats.org/officeDocument/2006/relationships/hyperlink" Target="http://www.tpprf.ru/" TargetMode="External"/><Relationship Id="rId3" Type="http://schemas.openxmlformats.org/officeDocument/2006/relationships/settings" Target="settings.xml"/><Relationship Id="rId21" Type="http://schemas.openxmlformats.org/officeDocument/2006/relationships/hyperlink" Target="http://www.opora.ru/" TargetMode="External"/><Relationship Id="rId7" Type="http://schemas.openxmlformats.org/officeDocument/2006/relationships/hyperlink" Target="consultantplus://offline/ref=ED0D5EF0EF0D60EB564614273C4B7B8D74284E8E6FEAA5EBC247212AB3C74B337F35D86584E584C7V8SAL" TargetMode="External"/><Relationship Id="rId12" Type="http://schemas.openxmlformats.org/officeDocument/2006/relationships/hyperlink" Target="https://meshovsk.ru/metodicheskie-rekomendatcii.html" TargetMode="External"/><Relationship Id="rId17" Type="http://schemas.openxmlformats.org/officeDocument/2006/relationships/hyperlink" Target="https://meshovsk.ru/metodicheskie-rekomendatcii.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shovsk.ru/metodicheskie-rekomendatcii.html" TargetMode="External"/><Relationship Id="rId20" Type="http://schemas.openxmlformats.org/officeDocument/2006/relationships/hyperlink" Target="http://www.deloros.ru/" TargetMode="External"/><Relationship Id="rId1" Type="http://schemas.openxmlformats.org/officeDocument/2006/relationships/numbering" Target="numbering.xml"/><Relationship Id="rId6" Type="http://schemas.openxmlformats.org/officeDocument/2006/relationships/hyperlink" Target="consultantplus://offline/ref=ED0D5EF0EF0D60EB564614273C4B7B8D74284E8E6FEAA5EBC247212AB3C74B337F35D86584E584C4V8SCL" TargetMode="External"/><Relationship Id="rId11" Type="http://schemas.openxmlformats.org/officeDocument/2006/relationships/hyperlink" Target="https://meshovsk.ru/metodicheskie-rekomendatcii.html" TargetMode="External"/><Relationship Id="rId24" Type="http://schemas.openxmlformats.org/officeDocument/2006/relationships/fontTable" Target="fontTable.xml"/><Relationship Id="rId5" Type="http://schemas.openxmlformats.org/officeDocument/2006/relationships/hyperlink" Target="consultantplus://offline/ref=ED0D5EF0EF0D60EB564614273C4B7B8D742A4B8064E0A5EBC247212AB3C74B337F35D86584E584C5V8SCL" TargetMode="External"/><Relationship Id="rId15" Type="http://schemas.openxmlformats.org/officeDocument/2006/relationships/hyperlink" Target="https://meshovsk.ru/metodicheskie-rekomendatcii.html" TargetMode="External"/><Relationship Id="rId23" Type="http://schemas.openxmlformats.org/officeDocument/2006/relationships/hyperlink" Target="http://www.rosmintrud.ru/ministry/programms/gossluzhba/antikorr/2/2" TargetMode="External"/><Relationship Id="rId10" Type="http://schemas.openxmlformats.org/officeDocument/2006/relationships/hyperlink" Target="https://meshovsk.ru/metodicheskie-rekomendatcii.html" TargetMode="External"/><Relationship Id="rId19" Type="http://schemas.openxmlformats.org/officeDocument/2006/relationships/hyperlink" Target="http://www.rspp.ru/" TargetMode="External"/><Relationship Id="rId4" Type="http://schemas.openxmlformats.org/officeDocument/2006/relationships/webSettings" Target="webSettings.xml"/><Relationship Id="rId9" Type="http://schemas.openxmlformats.org/officeDocument/2006/relationships/hyperlink" Target="consultantplus://offline/ref=ED0D5EF0EF0D60EB564614273C4B7B8D742A4B8064E0A5EBC247212AB3C74B337F35D86584E584C4V8S9L" TargetMode="External"/><Relationship Id="rId14" Type="http://schemas.openxmlformats.org/officeDocument/2006/relationships/hyperlink" Target="https://meshovsk.ru/metodicheskie-rekomendatcii.html" TargetMode="External"/><Relationship Id="rId22"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17716</Words>
  <Characters>100987</Characters>
  <Application>Microsoft Office Word</Application>
  <DocSecurity>0</DocSecurity>
  <Lines>841</Lines>
  <Paragraphs>236</Paragraphs>
  <ScaleCrop>false</ScaleCrop>
  <Company>Microsoft</Company>
  <LinksUpToDate>false</LinksUpToDate>
  <CharactersWithSpaces>118467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2022-11-21T09:02:00Z</dcterms:created>
  <dcterms:modified xsi:type="dcterms:W3CDTF">2022-11-21T09:26:00Z</dcterms:modified>
</cp:coreProperties>
</file>