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D058EB" w:rsidP="00D479FC">
      <w:pPr>
        <w:pStyle w:val="5"/>
        <w:tabs>
          <w:tab w:val="left" w:pos="3051"/>
        </w:tabs>
        <w:jc w:val="center"/>
        <w:outlineLvl w:val="4"/>
      </w:pPr>
      <w:r w:rsidRPr="0043622E">
        <w:t>На проект Решения</w:t>
      </w:r>
      <w:r w:rsidR="00080EE7" w:rsidRPr="0043622E">
        <w:t xml:space="preserve"> Сельской</w:t>
      </w:r>
      <w:r w:rsidR="0009774B" w:rsidRPr="0043622E">
        <w:t xml:space="preserve"> Думы</w:t>
      </w:r>
      <w:r w:rsidRPr="0043622E">
        <w:t xml:space="preserve"> </w:t>
      </w:r>
      <w:r w:rsidR="0033365A" w:rsidRPr="0043622E">
        <w:t xml:space="preserve"> муниципального образования </w:t>
      </w:r>
      <w:r w:rsidR="000E20D8">
        <w:t>сельского поселения «</w:t>
      </w:r>
      <w:r w:rsidR="00DA7FEA">
        <w:t>Железнодорожная станция Кудринская</w:t>
      </w:r>
      <w:r w:rsidR="000E20D8">
        <w:t>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Pr="0043622E">
        <w:t xml:space="preserve"> </w:t>
      </w:r>
      <w:r w:rsidR="00D479FC" w:rsidRPr="0043622E">
        <w:t xml:space="preserve">«Об утверждении отчёта об исполнении бюджета </w:t>
      </w:r>
      <w:r w:rsidR="00861527" w:rsidRPr="0043622E">
        <w:t xml:space="preserve">сельского поселения  </w:t>
      </w:r>
      <w:r w:rsidR="000E20D8">
        <w:t>«</w:t>
      </w:r>
      <w:r w:rsidR="00DA7FEA">
        <w:t>Железнодорожная станция Кудринская</w:t>
      </w:r>
      <w:r w:rsidR="000E20D8">
        <w:t>»</w:t>
      </w:r>
      <w:r w:rsidR="00D479FC" w:rsidRPr="0043622E">
        <w:t xml:space="preserve"> за </w:t>
      </w:r>
      <w:r w:rsidR="0043622E" w:rsidRPr="0043622E">
        <w:t xml:space="preserve">1 </w:t>
      </w:r>
      <w:r w:rsidR="0043622E">
        <w:t xml:space="preserve">квартал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363E97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21</w:t>
      </w:r>
      <w:r w:rsidR="00F661D2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мая</w:t>
      </w:r>
      <w:r w:rsidR="00674AD0">
        <w:rPr>
          <w:b/>
          <w:sz w:val="26"/>
          <w:szCs w:val="26"/>
          <w:u w:val="single"/>
        </w:rPr>
        <w:t xml:space="preserve">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734EAA">
        <w:rPr>
          <w:b/>
          <w:sz w:val="26"/>
          <w:szCs w:val="26"/>
        </w:rPr>
        <w:t xml:space="preserve">      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21</w:t>
      </w:r>
      <w:r w:rsidR="00440550">
        <w:rPr>
          <w:b/>
          <w:sz w:val="26"/>
          <w:szCs w:val="26"/>
        </w:rPr>
        <w:t>–</w:t>
      </w:r>
      <w:r w:rsidR="005031E9">
        <w:rPr>
          <w:b/>
          <w:sz w:val="26"/>
          <w:szCs w:val="26"/>
        </w:rPr>
        <w:t>С</w:t>
      </w:r>
      <w:r w:rsidR="00440550">
        <w:rPr>
          <w:b/>
          <w:sz w:val="26"/>
          <w:szCs w:val="26"/>
        </w:rPr>
        <w:t>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 xml:space="preserve">Железнодорожная станция </w:t>
      </w:r>
      <w:r w:rsidR="00BC6CB2" w:rsidRPr="00BC6CB2">
        <w:rPr>
          <w:sz w:val="26"/>
          <w:szCs w:val="26"/>
        </w:rPr>
        <w:t xml:space="preserve"> </w:t>
      </w:r>
      <w:r w:rsidR="00DA7FEA">
        <w:rPr>
          <w:sz w:val="26"/>
          <w:szCs w:val="26"/>
        </w:rPr>
        <w:t>Кудринская</w:t>
      </w:r>
      <w:r w:rsidR="000E20D8">
        <w:rPr>
          <w:sz w:val="26"/>
          <w:szCs w:val="26"/>
        </w:rPr>
        <w:t>»</w:t>
      </w:r>
      <w:r w:rsidR="00861527" w:rsidRPr="006922D7">
        <w:rPr>
          <w:sz w:val="26"/>
          <w:szCs w:val="26"/>
        </w:rPr>
        <w:t xml:space="preserve">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</w:t>
      </w:r>
      <w:r w:rsidR="00734EAA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за</w:t>
      </w:r>
      <w:r w:rsidR="0043622E">
        <w:rPr>
          <w:sz w:val="26"/>
          <w:szCs w:val="26"/>
        </w:rPr>
        <w:t xml:space="preserve"> 1 квартал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</w:t>
      </w:r>
      <w:proofErr w:type="gramStart"/>
      <w:r w:rsidR="001D5CF7">
        <w:rPr>
          <w:sz w:val="26"/>
          <w:szCs w:val="26"/>
        </w:rPr>
        <w:t>э</w:t>
      </w:r>
      <w:r w:rsidR="00BC6CB2">
        <w:rPr>
          <w:sz w:val="26"/>
          <w:szCs w:val="26"/>
        </w:rPr>
        <w:t>кспертизы проекта решения</w:t>
      </w:r>
      <w:r w:rsidR="00BC6CB2" w:rsidRPr="00BC6CB2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>Сельской Думы сельского поселения</w:t>
      </w:r>
      <w:proofErr w:type="gramEnd"/>
      <w:r w:rsidR="0043022F">
        <w:rPr>
          <w:sz w:val="26"/>
          <w:szCs w:val="26"/>
        </w:rPr>
        <w:t xml:space="preserve"> </w:t>
      </w:r>
      <w:proofErr w:type="gramStart"/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5C6756" w:rsidRPr="005C6756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5C6756" w:rsidRPr="005C6756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>с учетом рассмотрения дополнительных документов и материалов, представленных с Проектом,  в соответствии</w:t>
      </w:r>
      <w:proofErr w:type="gramEnd"/>
      <w:r w:rsidR="0043622E">
        <w:rPr>
          <w:sz w:val="26"/>
          <w:szCs w:val="26"/>
        </w:rPr>
        <w:t xml:space="preserve"> </w:t>
      </w:r>
      <w:r w:rsidR="0043622E" w:rsidRPr="005919B9">
        <w:rPr>
          <w:sz w:val="26"/>
          <w:szCs w:val="26"/>
        </w:rPr>
        <w:t xml:space="preserve">с </w:t>
      </w:r>
      <w:r w:rsidR="00D24857">
        <w:rPr>
          <w:sz w:val="26"/>
          <w:szCs w:val="26"/>
        </w:rPr>
        <w:t>п.5 ст.264.2,</w:t>
      </w:r>
      <w:r w:rsidR="00363E97">
        <w:rPr>
          <w:sz w:val="26"/>
          <w:szCs w:val="26"/>
        </w:rPr>
        <w:t xml:space="preserve"> </w:t>
      </w:r>
      <w:r w:rsidR="00D24857">
        <w:rPr>
          <w:sz w:val="26"/>
          <w:szCs w:val="26"/>
        </w:rPr>
        <w:t xml:space="preserve"> п.1 </w:t>
      </w:r>
      <w:r w:rsidR="0043622E" w:rsidRPr="005919B9">
        <w:rPr>
          <w:sz w:val="26"/>
          <w:szCs w:val="26"/>
        </w:rPr>
        <w:t>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43622E">
        <w:rPr>
          <w:sz w:val="26"/>
          <w:szCs w:val="26"/>
        </w:rPr>
        <w:t>1</w:t>
      </w:r>
      <w:r w:rsidR="00363E97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363E97">
        <w:rPr>
          <w:sz w:val="26"/>
          <w:szCs w:val="26"/>
        </w:rPr>
        <w:t>5</w:t>
      </w:r>
      <w:r>
        <w:rPr>
          <w:sz w:val="26"/>
          <w:szCs w:val="26"/>
        </w:rPr>
        <w:t xml:space="preserve">.2022 года по </w:t>
      </w:r>
      <w:r w:rsidR="00363E97">
        <w:rPr>
          <w:sz w:val="26"/>
          <w:szCs w:val="26"/>
        </w:rPr>
        <w:t>16</w:t>
      </w:r>
      <w:r w:rsidR="001D3D9A">
        <w:rPr>
          <w:sz w:val="26"/>
          <w:szCs w:val="26"/>
        </w:rPr>
        <w:t>.0</w:t>
      </w:r>
      <w:r w:rsidR="00363E97">
        <w:rPr>
          <w:sz w:val="26"/>
          <w:szCs w:val="26"/>
        </w:rPr>
        <w:t>5</w:t>
      </w:r>
      <w:r>
        <w:rPr>
          <w:sz w:val="26"/>
          <w:szCs w:val="26"/>
        </w:rPr>
        <w:t>.2022 год в соответствии с п.2.</w:t>
      </w:r>
      <w:r w:rsidR="0043622E">
        <w:rPr>
          <w:sz w:val="26"/>
          <w:szCs w:val="26"/>
        </w:rPr>
        <w:t>3</w:t>
      </w:r>
      <w:r w:rsidR="00AF5393">
        <w:rPr>
          <w:sz w:val="26"/>
          <w:szCs w:val="26"/>
        </w:rPr>
        <w:t>.</w:t>
      </w:r>
      <w:r w:rsidR="000E20D8">
        <w:rPr>
          <w:sz w:val="26"/>
          <w:szCs w:val="26"/>
        </w:rPr>
        <w:t>4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>
        <w:rPr>
          <w:sz w:val="26"/>
          <w:szCs w:val="26"/>
        </w:rPr>
        <w:t>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F661D2" w:rsidRPr="006922D7" w:rsidRDefault="00F661D2" w:rsidP="00F661D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 муниципального образования сельского поселения «</w:t>
      </w:r>
      <w:r w:rsidR="00DA7FEA">
        <w:rPr>
          <w:sz w:val="26"/>
          <w:szCs w:val="26"/>
        </w:rPr>
        <w:t>Железнодорожная станция Кудринская</w:t>
      </w:r>
      <w:r w:rsidRPr="006922D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 w:rsidR="001D0635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D0635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Pr="006922D7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6922D7">
        <w:rPr>
          <w:sz w:val="26"/>
          <w:szCs w:val="26"/>
        </w:rPr>
        <w:t xml:space="preserve">  года  № </w:t>
      </w:r>
      <w:r w:rsidR="001D0635">
        <w:rPr>
          <w:sz w:val="26"/>
          <w:szCs w:val="26"/>
        </w:rPr>
        <w:t>30</w:t>
      </w:r>
      <w:r w:rsidRPr="006922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 Положения о бюджетном процессе в сельском поселении 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Сельской Думы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Мещовского района  от 1</w:t>
      </w:r>
      <w:r w:rsidR="001D0635">
        <w:rPr>
          <w:sz w:val="26"/>
          <w:szCs w:val="26"/>
        </w:rPr>
        <w:t>4</w:t>
      </w:r>
      <w:r>
        <w:rPr>
          <w:sz w:val="26"/>
          <w:szCs w:val="26"/>
        </w:rPr>
        <w:t>.12.2021 года</w:t>
      </w:r>
      <w:r w:rsidR="00F661D2">
        <w:rPr>
          <w:sz w:val="26"/>
          <w:szCs w:val="26"/>
        </w:rPr>
        <w:t xml:space="preserve"> №5</w:t>
      </w:r>
      <w:r w:rsidR="001D0635">
        <w:rPr>
          <w:sz w:val="26"/>
          <w:szCs w:val="26"/>
        </w:rPr>
        <w:t>4</w:t>
      </w:r>
      <w:r>
        <w:rPr>
          <w:sz w:val="26"/>
          <w:szCs w:val="26"/>
        </w:rPr>
        <w:t xml:space="preserve"> «О бюджете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0E20D8"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1D0635" w:rsidRDefault="001D0635" w:rsidP="001D0635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Решение Сельской Думы муниципального образования сельского поселения «Железнодорожная станция Кудринская»</w:t>
      </w:r>
      <w:r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Мещовского района  от 16.02.2022 года </w:t>
      </w:r>
      <w:r>
        <w:rPr>
          <w:sz w:val="26"/>
          <w:szCs w:val="26"/>
        </w:rPr>
        <w:lastRenderedPageBreak/>
        <w:t>№64 « О внесении изменений и дополнений в Решение Сельской Думы от 14.12.2021 г. № 54 «О бюджете муниципального образования сельского поселения «Железнодорожная станция Кудринская»</w:t>
      </w:r>
      <w:r w:rsidRPr="006922D7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2022 год и на плановый период 2023 – 2024 годов»;</w:t>
      </w:r>
    </w:p>
    <w:p w:rsidR="00F661D2" w:rsidRPr="001D0635" w:rsidRDefault="00F661D2" w:rsidP="001D0635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1D0635">
        <w:rPr>
          <w:sz w:val="26"/>
          <w:szCs w:val="26"/>
        </w:rPr>
        <w:t>Постановление Администрации сельского поселения «</w:t>
      </w:r>
      <w:r w:rsidR="00DA7FEA" w:rsidRPr="001D0635">
        <w:rPr>
          <w:sz w:val="26"/>
          <w:szCs w:val="26"/>
        </w:rPr>
        <w:t>Железнодорожная станция Кудринская</w:t>
      </w:r>
      <w:r w:rsidRPr="001D0635">
        <w:rPr>
          <w:sz w:val="26"/>
          <w:szCs w:val="26"/>
        </w:rPr>
        <w:t xml:space="preserve">» Мещовского района Калужской области </w:t>
      </w:r>
      <w:r w:rsidRPr="005C716E">
        <w:rPr>
          <w:sz w:val="26"/>
          <w:szCs w:val="26"/>
        </w:rPr>
        <w:t xml:space="preserve">от </w:t>
      </w:r>
      <w:r w:rsidR="005C716E" w:rsidRPr="005C716E">
        <w:rPr>
          <w:sz w:val="26"/>
          <w:szCs w:val="26"/>
        </w:rPr>
        <w:t>11</w:t>
      </w:r>
      <w:r w:rsidRPr="005C716E">
        <w:rPr>
          <w:sz w:val="26"/>
          <w:szCs w:val="26"/>
        </w:rPr>
        <w:t>.04.2022 года</w:t>
      </w:r>
      <w:r w:rsidR="006228CE" w:rsidRPr="005C716E">
        <w:rPr>
          <w:sz w:val="26"/>
          <w:szCs w:val="26"/>
        </w:rPr>
        <w:t xml:space="preserve"> № </w:t>
      </w:r>
      <w:r w:rsidR="005C716E">
        <w:rPr>
          <w:sz w:val="26"/>
          <w:szCs w:val="26"/>
        </w:rPr>
        <w:t>37</w:t>
      </w:r>
      <w:r w:rsidR="006228CE" w:rsidRPr="001D0635">
        <w:rPr>
          <w:sz w:val="26"/>
          <w:szCs w:val="26"/>
        </w:rPr>
        <w:t xml:space="preserve"> «Об утверждении отчета об исполнении бюджета СП «</w:t>
      </w:r>
      <w:r w:rsidR="00DA7FEA" w:rsidRPr="001D0635">
        <w:rPr>
          <w:sz w:val="26"/>
          <w:szCs w:val="26"/>
        </w:rPr>
        <w:t>Железнодорожная станция Кудринская</w:t>
      </w:r>
      <w:r w:rsidR="006228CE" w:rsidRPr="001D0635">
        <w:rPr>
          <w:sz w:val="26"/>
          <w:szCs w:val="26"/>
        </w:rPr>
        <w:t>» за 1 квартал 2022 года»</w:t>
      </w:r>
    </w:p>
    <w:p w:rsidR="00185A20" w:rsidRPr="00EA3C70" w:rsidRDefault="00185A20" w:rsidP="00185A20">
      <w:pPr>
        <w:ind w:left="284"/>
        <w:jc w:val="both"/>
        <w:rPr>
          <w:sz w:val="26"/>
          <w:szCs w:val="26"/>
        </w:rPr>
      </w:pPr>
    </w:p>
    <w:p w:rsidR="00E56223" w:rsidRPr="004C52A9" w:rsidRDefault="001618A2" w:rsidP="004C52A9">
      <w:pPr>
        <w:jc w:val="both"/>
        <w:rPr>
          <w:b/>
          <w:sz w:val="26"/>
          <w:szCs w:val="26"/>
        </w:rPr>
      </w:pPr>
      <w:r w:rsidRPr="004C52A9">
        <w:rPr>
          <w:b/>
          <w:sz w:val="26"/>
          <w:szCs w:val="26"/>
        </w:rPr>
        <w:t xml:space="preserve">Предметом </w:t>
      </w:r>
      <w:r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6D56E6">
        <w:rPr>
          <w:sz w:val="26"/>
          <w:szCs w:val="26"/>
        </w:rPr>
        <w:t>1 квартал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185A20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6D56E6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226FF9">
        <w:rPr>
          <w:sz w:val="26"/>
          <w:szCs w:val="26"/>
        </w:rPr>
        <w:t>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02D74">
        <w:rPr>
          <w:sz w:val="26"/>
          <w:szCs w:val="26"/>
        </w:rPr>
        <w:t xml:space="preserve">по целевым статьям (государственным программам и непрограммным направлениям деятельности) расходов бюджетов за </w:t>
      </w:r>
      <w:r>
        <w:rPr>
          <w:sz w:val="26"/>
          <w:szCs w:val="26"/>
        </w:rPr>
        <w:t xml:space="preserve"> 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</w:t>
      </w:r>
      <w:r w:rsidR="00226FF9">
        <w:rPr>
          <w:b/>
          <w:sz w:val="26"/>
          <w:szCs w:val="26"/>
        </w:rPr>
        <w:t xml:space="preserve">1 квартал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lastRenderedPageBreak/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отчётности </w:t>
      </w:r>
      <w:r>
        <w:rPr>
          <w:sz w:val="26"/>
          <w:szCs w:val="26"/>
        </w:rPr>
        <w:t xml:space="preserve"> 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</w:t>
      </w:r>
      <w:r w:rsidR="006228CE">
        <w:rPr>
          <w:sz w:val="26"/>
          <w:szCs w:val="26"/>
        </w:rPr>
        <w:t xml:space="preserve"> </w:t>
      </w:r>
      <w:r w:rsidR="006228CE" w:rsidRPr="006228CE">
        <w:rPr>
          <w:sz w:val="26"/>
          <w:szCs w:val="26"/>
        </w:rPr>
        <w:t>(ред. от 21.12.2021)</w:t>
      </w:r>
      <w:r w:rsidRPr="00795F2F">
        <w:rPr>
          <w:sz w:val="26"/>
          <w:szCs w:val="26"/>
        </w:rPr>
        <w:t xml:space="preserve">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C422B1" w:rsidRPr="00C422B1" w:rsidRDefault="00C422B1" w:rsidP="00C422B1">
      <w:pPr>
        <w:pStyle w:val="a3"/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4836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062D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предлагаются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к утверждению показатели: </w:t>
      </w:r>
    </w:p>
    <w:p w:rsidR="008A56C6" w:rsidRPr="00180BD3" w:rsidRDefault="00770C3A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proofErr w:type="gramStart"/>
      <w:r w:rsidRPr="00180BD3">
        <w:rPr>
          <w:sz w:val="26"/>
          <w:szCs w:val="26"/>
        </w:rPr>
        <w:t>с</w:t>
      </w:r>
      <w:r w:rsidR="008A56C6" w:rsidRPr="00180BD3">
        <w:rPr>
          <w:sz w:val="26"/>
          <w:szCs w:val="26"/>
        </w:rPr>
        <w:t xml:space="preserve">ведения об исполнении бюджета муниципального образования сельского поселения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="008A56C6" w:rsidRPr="00180BD3">
        <w:rPr>
          <w:sz w:val="26"/>
          <w:szCs w:val="26"/>
        </w:rPr>
        <w:t xml:space="preserve"> </w:t>
      </w:r>
      <w:r w:rsidR="00F21C46" w:rsidRPr="00180BD3">
        <w:rPr>
          <w:sz w:val="26"/>
          <w:szCs w:val="26"/>
        </w:rPr>
        <w:t xml:space="preserve"> </w:t>
      </w:r>
      <w:r w:rsidR="008A56C6" w:rsidRPr="00180BD3">
        <w:rPr>
          <w:sz w:val="26"/>
          <w:szCs w:val="26"/>
        </w:rPr>
        <w:t>за I квартал 2022 года по доходам</w:t>
      </w:r>
      <w:r w:rsidR="00F21C46" w:rsidRPr="00180BD3">
        <w:rPr>
          <w:sz w:val="26"/>
          <w:szCs w:val="26"/>
        </w:rPr>
        <w:t xml:space="preserve"> – 3 447 578,57 рублей </w:t>
      </w:r>
      <w:r w:rsidR="008A56C6" w:rsidRPr="00180BD3">
        <w:rPr>
          <w:sz w:val="26"/>
          <w:szCs w:val="26"/>
        </w:rPr>
        <w:t xml:space="preserve"> </w:t>
      </w:r>
      <w:r w:rsidR="007D7FC5">
        <w:rPr>
          <w:sz w:val="26"/>
          <w:szCs w:val="26"/>
        </w:rPr>
        <w:t>к</w:t>
      </w:r>
      <w:r w:rsidR="00180BD3" w:rsidRPr="00180BD3">
        <w:rPr>
          <w:sz w:val="26"/>
          <w:szCs w:val="26"/>
        </w:rPr>
        <w:t xml:space="preserve"> </w:t>
      </w:r>
      <w:r w:rsidR="007D7FC5">
        <w:rPr>
          <w:sz w:val="26"/>
          <w:szCs w:val="26"/>
        </w:rPr>
        <w:t>первичным</w:t>
      </w:r>
      <w:r w:rsidR="00180BD3">
        <w:rPr>
          <w:sz w:val="26"/>
          <w:szCs w:val="26"/>
        </w:rPr>
        <w:t xml:space="preserve"> </w:t>
      </w:r>
      <w:r w:rsidR="007D7FC5">
        <w:rPr>
          <w:sz w:val="26"/>
          <w:szCs w:val="26"/>
        </w:rPr>
        <w:t xml:space="preserve">запланированным </w:t>
      </w:r>
      <w:r w:rsidR="001D4845">
        <w:rPr>
          <w:sz w:val="26"/>
          <w:szCs w:val="26"/>
        </w:rPr>
        <w:t>назначениям</w:t>
      </w:r>
      <w:r w:rsidR="007D7FC5">
        <w:rPr>
          <w:sz w:val="26"/>
          <w:szCs w:val="26"/>
        </w:rPr>
        <w:t xml:space="preserve"> на 2022 год исполнение  - 24% (сумма </w:t>
      </w:r>
      <w:r w:rsidR="00EA24C8">
        <w:rPr>
          <w:sz w:val="26"/>
          <w:szCs w:val="26"/>
        </w:rPr>
        <w:t xml:space="preserve"> 14133419,52 рублей</w:t>
      </w:r>
      <w:r w:rsidR="007D7FC5">
        <w:rPr>
          <w:sz w:val="26"/>
          <w:szCs w:val="26"/>
        </w:rPr>
        <w:t xml:space="preserve">), к уточненным  -  </w:t>
      </w:r>
      <w:r w:rsidR="00EA24C8">
        <w:rPr>
          <w:sz w:val="26"/>
          <w:szCs w:val="26"/>
        </w:rPr>
        <w:t>23% (сумма 14738773,52 рублей)</w:t>
      </w:r>
      <w:r w:rsidR="008A56C6" w:rsidRPr="00180BD3">
        <w:rPr>
          <w:sz w:val="26"/>
          <w:szCs w:val="26"/>
        </w:rPr>
        <w:t xml:space="preserve"> </w:t>
      </w:r>
      <w:proofErr w:type="gramEnd"/>
    </w:p>
    <w:p w:rsidR="008A56C6" w:rsidRPr="00353A9C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353A9C">
        <w:rPr>
          <w:sz w:val="26"/>
          <w:szCs w:val="26"/>
        </w:rPr>
        <w:t>с</w:t>
      </w:r>
      <w:r w:rsidR="0048367C" w:rsidRPr="00353A9C">
        <w:rPr>
          <w:sz w:val="26"/>
          <w:szCs w:val="26"/>
        </w:rPr>
        <w:t>ведения об исполнении бюджета сельского поселения "</w:t>
      </w:r>
      <w:r w:rsidR="00DA7FEA" w:rsidRPr="00353A9C">
        <w:rPr>
          <w:sz w:val="26"/>
          <w:szCs w:val="26"/>
        </w:rPr>
        <w:t>Железнодорожная станция Кудринская</w:t>
      </w:r>
      <w:r w:rsidR="0048367C" w:rsidRPr="00353A9C">
        <w:rPr>
          <w:sz w:val="26"/>
          <w:szCs w:val="26"/>
        </w:rPr>
        <w:t>" за 1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</w:t>
      </w:r>
      <w:r w:rsidR="00EA24C8" w:rsidRPr="00353A9C">
        <w:rPr>
          <w:sz w:val="26"/>
          <w:szCs w:val="26"/>
        </w:rPr>
        <w:t xml:space="preserve"> </w:t>
      </w:r>
      <w:r w:rsidR="0048367C" w:rsidRPr="00353A9C">
        <w:rPr>
          <w:sz w:val="26"/>
          <w:szCs w:val="26"/>
        </w:rPr>
        <w:t xml:space="preserve"> 2021 года</w:t>
      </w:r>
      <w:r w:rsidR="00353A9C">
        <w:rPr>
          <w:sz w:val="26"/>
          <w:szCs w:val="26"/>
        </w:rPr>
        <w:t>;</w:t>
      </w:r>
    </w:p>
    <w:p w:rsidR="00D13B1D" w:rsidRPr="00180BD3" w:rsidRDefault="00770C3A" w:rsidP="00D13B1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proofErr w:type="gramStart"/>
      <w:r w:rsidRPr="00353A9C">
        <w:rPr>
          <w:sz w:val="26"/>
          <w:szCs w:val="26"/>
        </w:rPr>
        <w:t>с</w:t>
      </w:r>
      <w:r w:rsidR="00D13B1D" w:rsidRPr="00353A9C">
        <w:rPr>
          <w:sz w:val="26"/>
          <w:szCs w:val="26"/>
        </w:rPr>
        <w:t>ведения об исполнении расходов бюджета МО сельского поселения «</w:t>
      </w:r>
      <w:r w:rsidR="00DA7FEA" w:rsidRPr="00353A9C">
        <w:rPr>
          <w:sz w:val="26"/>
          <w:szCs w:val="26"/>
        </w:rPr>
        <w:t>Железнодорожная станция Кудринская</w:t>
      </w:r>
      <w:r w:rsidR="00D13B1D" w:rsidRPr="00353A9C">
        <w:rPr>
          <w:sz w:val="26"/>
          <w:szCs w:val="26"/>
        </w:rPr>
        <w:t>» по разделам и подразделам классификации расходов бюджетов за 1 квартал 2022 года в сравнении  с запланированными значениями на 2022 год и соответствующим периодом 2021 года</w:t>
      </w:r>
      <w:r w:rsidR="001D4845" w:rsidRPr="00353A9C">
        <w:rPr>
          <w:sz w:val="26"/>
          <w:szCs w:val="26"/>
        </w:rPr>
        <w:t xml:space="preserve"> в сумме 2 797 198,16 рублей к первичным запланированным назначениям на 2022 год исполнение - 19%  (</w:t>
      </w:r>
      <w:r w:rsidR="00AC6202" w:rsidRPr="00353A9C">
        <w:rPr>
          <w:sz w:val="26"/>
          <w:szCs w:val="26"/>
        </w:rPr>
        <w:t>сумма 14133419,52 рублей</w:t>
      </w:r>
      <w:r w:rsidR="001D4845" w:rsidRPr="00353A9C">
        <w:rPr>
          <w:sz w:val="26"/>
          <w:szCs w:val="26"/>
        </w:rPr>
        <w:t>)</w:t>
      </w:r>
      <w:r w:rsidR="00AC6202" w:rsidRPr="00353A9C">
        <w:rPr>
          <w:sz w:val="26"/>
          <w:szCs w:val="26"/>
        </w:rPr>
        <w:t>, к уточненным   (сумма 15 977 833,52</w:t>
      </w:r>
      <w:proofErr w:type="gramEnd"/>
      <w:r w:rsidR="00AC6202" w:rsidRPr="00353A9C">
        <w:rPr>
          <w:sz w:val="26"/>
          <w:szCs w:val="26"/>
        </w:rPr>
        <w:t xml:space="preserve"> рублей)</w:t>
      </w:r>
      <w:r w:rsidR="00D13B1D" w:rsidRPr="00353A9C">
        <w:rPr>
          <w:sz w:val="26"/>
          <w:szCs w:val="26"/>
        </w:rPr>
        <w:t>;</w:t>
      </w:r>
    </w:p>
    <w:p w:rsidR="008A56C6" w:rsidRPr="00180BD3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пояснительная записка к отчету об исполнении бюджета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="002C64E6" w:rsidRPr="00180BD3">
        <w:rPr>
          <w:sz w:val="26"/>
          <w:szCs w:val="26"/>
        </w:rPr>
        <w:t xml:space="preserve"> </w:t>
      </w:r>
      <w:r w:rsidRPr="00180BD3">
        <w:rPr>
          <w:sz w:val="26"/>
          <w:szCs w:val="26"/>
        </w:rPr>
        <w:t xml:space="preserve"> за 1 квартал 2022 года.</w:t>
      </w:r>
    </w:p>
    <w:p w:rsidR="008A56C6" w:rsidRPr="00180BD3" w:rsidRDefault="002C64E6" w:rsidP="000E20D8">
      <w:pPr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   </w:t>
      </w:r>
      <w:r w:rsidR="008A56C6" w:rsidRPr="00180BD3">
        <w:rPr>
          <w:sz w:val="26"/>
          <w:szCs w:val="26"/>
        </w:rPr>
        <w:t xml:space="preserve"> Кассовые </w:t>
      </w:r>
      <w:r w:rsidR="00486635">
        <w:rPr>
          <w:sz w:val="26"/>
          <w:szCs w:val="26"/>
        </w:rPr>
        <w:t xml:space="preserve"> </w:t>
      </w:r>
      <w:r w:rsidR="008A56C6" w:rsidRPr="00180BD3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 w:rsidRPr="00180BD3">
        <w:rPr>
          <w:sz w:val="26"/>
          <w:szCs w:val="26"/>
        </w:rPr>
        <w:t xml:space="preserve"> </w:t>
      </w:r>
      <w:r w:rsidR="008A56C6" w:rsidRPr="00180BD3">
        <w:rPr>
          <w:sz w:val="26"/>
          <w:szCs w:val="26"/>
        </w:rPr>
        <w:t xml:space="preserve"> бюджетных </w:t>
      </w:r>
      <w:r w:rsidRPr="00180BD3">
        <w:rPr>
          <w:sz w:val="26"/>
          <w:szCs w:val="26"/>
        </w:rPr>
        <w:t xml:space="preserve"> </w:t>
      </w:r>
      <w:r w:rsidR="008A56C6" w:rsidRPr="00180BD3">
        <w:rPr>
          <w:sz w:val="26"/>
          <w:szCs w:val="26"/>
        </w:rPr>
        <w:t>обязательств.</w:t>
      </w:r>
    </w:p>
    <w:p w:rsidR="008A56C6" w:rsidRPr="00180BD3" w:rsidRDefault="008A56C6" w:rsidP="000E20D8">
      <w:pPr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    Отчёт об исполнении бюджета </w:t>
      </w:r>
      <w:r w:rsidR="002C64E6" w:rsidRPr="00180BD3">
        <w:rPr>
          <w:sz w:val="26"/>
          <w:szCs w:val="26"/>
        </w:rPr>
        <w:t xml:space="preserve"> </w:t>
      </w:r>
      <w:r w:rsidRPr="00180BD3">
        <w:rPr>
          <w:sz w:val="26"/>
          <w:szCs w:val="26"/>
        </w:rPr>
        <w:t xml:space="preserve">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Pr="00180BD3">
        <w:rPr>
          <w:sz w:val="26"/>
          <w:szCs w:val="26"/>
        </w:rPr>
        <w:t xml:space="preserve"> за 1 квартал </w:t>
      </w:r>
      <w:r w:rsidR="002C64E6" w:rsidRPr="00180BD3">
        <w:rPr>
          <w:sz w:val="26"/>
          <w:szCs w:val="26"/>
        </w:rPr>
        <w:t xml:space="preserve"> </w:t>
      </w:r>
      <w:r w:rsidRPr="00180BD3">
        <w:rPr>
          <w:sz w:val="26"/>
          <w:szCs w:val="26"/>
        </w:rPr>
        <w:t>202</w:t>
      </w:r>
      <w:r w:rsidR="002C64E6" w:rsidRPr="00180BD3">
        <w:rPr>
          <w:sz w:val="26"/>
          <w:szCs w:val="26"/>
        </w:rPr>
        <w:t>2</w:t>
      </w:r>
      <w:r w:rsidRPr="00180BD3">
        <w:rPr>
          <w:sz w:val="26"/>
          <w:szCs w:val="26"/>
        </w:rPr>
        <w:t xml:space="preserve">  год представлен в КСО МР «Мещовский район» </w:t>
      </w:r>
      <w:r w:rsidR="00EA3C70">
        <w:rPr>
          <w:sz w:val="26"/>
          <w:szCs w:val="26"/>
        </w:rPr>
        <w:t>05</w:t>
      </w:r>
      <w:r w:rsidR="00770C3A" w:rsidRPr="00180BD3">
        <w:rPr>
          <w:sz w:val="26"/>
          <w:szCs w:val="26"/>
        </w:rPr>
        <w:t xml:space="preserve"> </w:t>
      </w:r>
      <w:r w:rsidR="00EA3C70">
        <w:rPr>
          <w:sz w:val="26"/>
          <w:szCs w:val="26"/>
        </w:rPr>
        <w:t xml:space="preserve">мая </w:t>
      </w:r>
      <w:r w:rsidR="003D6B30">
        <w:rPr>
          <w:sz w:val="26"/>
          <w:szCs w:val="26"/>
        </w:rPr>
        <w:t xml:space="preserve"> </w:t>
      </w:r>
      <w:r w:rsidRPr="00180BD3">
        <w:rPr>
          <w:sz w:val="26"/>
          <w:szCs w:val="26"/>
        </w:rPr>
        <w:t>2022 года.</w:t>
      </w:r>
    </w:p>
    <w:p w:rsidR="007049DE" w:rsidRPr="007049DE" w:rsidRDefault="008A56C6" w:rsidP="000E20D8">
      <w:pPr>
        <w:jc w:val="both"/>
        <w:rPr>
          <w:sz w:val="26"/>
          <w:szCs w:val="26"/>
        </w:rPr>
      </w:pPr>
      <w:r w:rsidRPr="00180BD3">
        <w:rPr>
          <w:sz w:val="26"/>
          <w:szCs w:val="26"/>
        </w:rPr>
        <w:t xml:space="preserve">     В 1 квартале 2022 года  в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Pr="00180BD3">
        <w:rPr>
          <w:sz w:val="26"/>
          <w:szCs w:val="26"/>
        </w:rPr>
        <w:t xml:space="preserve">  бюджетный процесс основывался на Бюджетном кодексе РФ, Положении о бюджетном процессе в СП </w:t>
      </w:r>
      <w:r w:rsidR="000E20D8" w:rsidRPr="00180BD3">
        <w:rPr>
          <w:sz w:val="26"/>
          <w:szCs w:val="26"/>
        </w:rPr>
        <w:t>«</w:t>
      </w:r>
      <w:r w:rsidR="00DA7FEA" w:rsidRPr="00180BD3">
        <w:rPr>
          <w:sz w:val="26"/>
          <w:szCs w:val="26"/>
        </w:rPr>
        <w:t>Железнодорожная станция Кудринская</w:t>
      </w:r>
      <w:r w:rsidR="000E20D8" w:rsidRPr="00180BD3">
        <w:rPr>
          <w:sz w:val="26"/>
          <w:szCs w:val="26"/>
        </w:rPr>
        <w:t>»</w:t>
      </w:r>
      <w:r w:rsidRPr="00180BD3">
        <w:rPr>
          <w:sz w:val="26"/>
          <w:szCs w:val="26"/>
        </w:rPr>
        <w:t>, и других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нормативно-правовых актах. Основные характеристики утвержденного бюджета соответствуют требованиям ст. 184.1 БК РФ</w:t>
      </w:r>
      <w:r w:rsidR="007049DE">
        <w:rPr>
          <w:sz w:val="26"/>
          <w:szCs w:val="26"/>
        </w:rPr>
        <w:t>.</w:t>
      </w:r>
    </w:p>
    <w:p w:rsidR="00CF12F4" w:rsidRDefault="00CF12F4" w:rsidP="000E20D8">
      <w:pPr>
        <w:pStyle w:val="a3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годового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0E20D8">
        <w:rPr>
          <w:b/>
          <w:sz w:val="26"/>
          <w:szCs w:val="26"/>
        </w:rPr>
        <w:t>«</w:t>
      </w:r>
      <w:r w:rsidR="00DA7FEA">
        <w:rPr>
          <w:b/>
          <w:sz w:val="26"/>
          <w:szCs w:val="26"/>
        </w:rPr>
        <w:t>Железнодорожная станция Кудринская</w:t>
      </w:r>
      <w:r w:rsidR="000E20D8">
        <w:rPr>
          <w:b/>
          <w:sz w:val="26"/>
          <w:szCs w:val="26"/>
        </w:rPr>
        <w:t>»</w:t>
      </w:r>
      <w:r w:rsidR="009B135C"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1 квартал </w:t>
      </w:r>
      <w:r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0E20D8">
      <w:pPr>
        <w:pStyle w:val="a3"/>
        <w:ind w:left="0" w:firstLine="284"/>
        <w:jc w:val="center"/>
        <w:rPr>
          <w:b/>
        </w:rPr>
      </w:pPr>
    </w:p>
    <w:p w:rsidR="00FA6DF1" w:rsidRPr="005051FD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</w:t>
      </w:r>
      <w:r w:rsidR="003D6B30">
        <w:rPr>
          <w:sz w:val="26"/>
          <w:szCs w:val="26"/>
        </w:rPr>
        <w:t>4</w:t>
      </w:r>
      <w:r>
        <w:rPr>
          <w:sz w:val="26"/>
          <w:szCs w:val="26"/>
        </w:rPr>
        <w:t xml:space="preserve"> от 1</w:t>
      </w:r>
      <w:r w:rsidR="003D6B30">
        <w:rPr>
          <w:sz w:val="26"/>
          <w:szCs w:val="26"/>
        </w:rPr>
        <w:t>4</w:t>
      </w:r>
      <w:r>
        <w:rPr>
          <w:sz w:val="26"/>
          <w:szCs w:val="26"/>
        </w:rPr>
        <w:t>.12.2021 года «</w:t>
      </w:r>
      <w:r w:rsidRPr="005051FD">
        <w:rPr>
          <w:sz w:val="26"/>
          <w:szCs w:val="26"/>
        </w:rPr>
        <w:t xml:space="preserve">О  бюджете муниципального образования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5051FD">
        <w:rPr>
          <w:sz w:val="26"/>
          <w:szCs w:val="26"/>
        </w:rPr>
        <w:t xml:space="preserve">  на 2022 год и на плановый период </w:t>
      </w:r>
      <w:r w:rsidR="00770C3A">
        <w:rPr>
          <w:sz w:val="26"/>
          <w:szCs w:val="26"/>
        </w:rPr>
        <w:t xml:space="preserve"> </w:t>
      </w:r>
      <w:r w:rsidRPr="005051FD">
        <w:rPr>
          <w:sz w:val="26"/>
          <w:szCs w:val="26"/>
        </w:rPr>
        <w:t>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FA6DF1" w:rsidRPr="0059743E" w:rsidRDefault="00FA6DF1" w:rsidP="000E20D8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>за 1 квартал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770C3A">
        <w:rPr>
          <w:sz w:val="26"/>
          <w:szCs w:val="26"/>
        </w:rPr>
        <w:t>вносились</w:t>
      </w:r>
      <w:r w:rsidR="003D6B30">
        <w:rPr>
          <w:sz w:val="26"/>
          <w:szCs w:val="26"/>
        </w:rPr>
        <w:t xml:space="preserve"> один раз</w:t>
      </w:r>
      <w:r w:rsidR="00770C3A">
        <w:rPr>
          <w:sz w:val="26"/>
          <w:szCs w:val="26"/>
        </w:rPr>
        <w:t xml:space="preserve">. </w:t>
      </w:r>
    </w:p>
    <w:p w:rsidR="00FA6DF1" w:rsidRDefault="00FA6DF1" w:rsidP="000E20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СП</w:t>
      </w:r>
      <w:r w:rsidRPr="0059743E">
        <w:rPr>
          <w:sz w:val="26"/>
          <w:szCs w:val="26"/>
        </w:rPr>
        <w:t xml:space="preserve">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1 квартал 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FA6DF1" w:rsidRDefault="00FA6DF1" w:rsidP="00FA6DF1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>за 1 квартал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="003D6B30">
        <w:rPr>
          <w:sz w:val="26"/>
          <w:szCs w:val="26"/>
        </w:rPr>
        <w:t>3 447 578,57</w:t>
      </w:r>
      <w:r w:rsidR="00F66D84">
        <w:rPr>
          <w:sz w:val="26"/>
          <w:szCs w:val="26"/>
        </w:rPr>
        <w:t xml:space="preserve"> </w:t>
      </w:r>
      <w:r w:rsidRPr="008A1E5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объем  безвозмездных поступлений  в сумме </w:t>
      </w:r>
      <w:r w:rsidR="003D6B30" w:rsidRPr="003D6B30">
        <w:rPr>
          <w:color w:val="000000"/>
          <w:sz w:val="26"/>
          <w:szCs w:val="26"/>
        </w:rPr>
        <w:t xml:space="preserve">2 719 089,52 </w:t>
      </w:r>
      <w:r w:rsidRPr="00AC372D">
        <w:rPr>
          <w:sz w:val="26"/>
          <w:szCs w:val="26"/>
        </w:rPr>
        <w:t xml:space="preserve">рублей; </w:t>
      </w:r>
    </w:p>
    <w:p w:rsidR="00FA6DF1" w:rsidRDefault="00FA6DF1" w:rsidP="00FA6DF1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 в сумме </w:t>
      </w:r>
      <w:r w:rsidR="003D6B30">
        <w:rPr>
          <w:sz w:val="26"/>
          <w:szCs w:val="26"/>
        </w:rPr>
        <w:t>2 797 198,16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за первый квартал</w:t>
      </w:r>
      <w:r>
        <w:rPr>
          <w:sz w:val="26"/>
          <w:szCs w:val="26"/>
        </w:rPr>
        <w:t xml:space="preserve"> в сумме </w:t>
      </w:r>
      <w:r w:rsidR="003D6B30">
        <w:rPr>
          <w:sz w:val="26"/>
          <w:szCs w:val="26"/>
        </w:rPr>
        <w:t xml:space="preserve">650 380,41 </w:t>
      </w:r>
      <w:r>
        <w:rPr>
          <w:sz w:val="26"/>
          <w:szCs w:val="26"/>
        </w:rPr>
        <w:t>рублей</w:t>
      </w:r>
      <w:r w:rsidR="003D6B30">
        <w:rPr>
          <w:sz w:val="26"/>
          <w:szCs w:val="26"/>
        </w:rPr>
        <w:t>.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770C3A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9F05A3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 w:rsidR="001C2CD3">
        <w:rPr>
          <w:sz w:val="26"/>
          <w:szCs w:val="26"/>
        </w:rPr>
        <w:t>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0E20D8"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 w:rsidR="000E20D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0E20D8">
        <w:rPr>
          <w:b/>
          <w:sz w:val="26"/>
          <w:szCs w:val="26"/>
        </w:rPr>
        <w:t>«</w:t>
      </w:r>
      <w:r w:rsidR="00DA7FEA">
        <w:rPr>
          <w:b/>
          <w:sz w:val="26"/>
          <w:szCs w:val="26"/>
        </w:rPr>
        <w:t>Железнодорожная станция Кудринская</w:t>
      </w:r>
      <w:r w:rsidR="000E20D8">
        <w:rPr>
          <w:b/>
          <w:sz w:val="26"/>
          <w:szCs w:val="26"/>
        </w:rPr>
        <w:t>»</w:t>
      </w:r>
      <w:r w:rsidR="001017B0" w:rsidRPr="001017B0">
        <w:rPr>
          <w:b/>
          <w:sz w:val="26"/>
          <w:szCs w:val="26"/>
        </w:rPr>
        <w:t xml:space="preserve">  </w:t>
      </w:r>
      <w:r w:rsidRPr="00D55791">
        <w:rPr>
          <w:b/>
          <w:sz w:val="26"/>
          <w:szCs w:val="26"/>
        </w:rPr>
        <w:t xml:space="preserve">за </w:t>
      </w:r>
      <w:r w:rsidR="0049574A">
        <w:rPr>
          <w:b/>
          <w:sz w:val="26"/>
          <w:szCs w:val="26"/>
        </w:rPr>
        <w:t xml:space="preserve">1 квартал 2022 года </w:t>
      </w:r>
      <w:r w:rsidR="00AA077B">
        <w:rPr>
          <w:b/>
          <w:sz w:val="26"/>
          <w:szCs w:val="26"/>
        </w:rPr>
        <w:t>по доходам</w:t>
      </w:r>
    </w:p>
    <w:p w:rsidR="00650ED1" w:rsidRDefault="0049574A" w:rsidP="00B52977">
      <w:pPr>
        <w:pStyle w:val="af"/>
        <w:jc w:val="both"/>
        <w:rPr>
          <w:rFonts w:cs="Calibri"/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Доходы бюджета 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СП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r w:rsidR="00DA7F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Железнодорожная станция Кудринская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 на 202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="006E02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декабре 2021 года 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запланированы в сумме </w:t>
      </w:r>
      <w:r w:rsidR="006E02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14 133 419,52</w:t>
      </w:r>
      <w:r w:rsidR="00B52977"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</w:t>
      </w:r>
      <w:r w:rsidR="006E02F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после  внесения изменений в феврале 2022 года  - в сумме 14 738 773,52 рублей, на 1</w:t>
      </w:r>
      <w:r w:rsidR="00B5297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апреля 2022 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6E02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доходы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исполнены в сумме 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3 447578,57 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  исполнение составляет 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24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 уточненным показателям – 23%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Собственные доходы 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первично 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запланированы в сумме 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8 805919,52</w:t>
      </w:r>
      <w:proofErr w:type="gramEnd"/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после внесения изменений </w:t>
      </w:r>
      <w:r w:rsidR="00C35614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 w:rsidR="001121FC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сумме 9 338 273,52 рублей  </w:t>
      </w:r>
      <w:r w:rsidR="00C35614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(на  532 354,00 рублей  больше) </w:t>
      </w:r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</w:t>
      </w:r>
      <w:proofErr w:type="gramEnd"/>
      <w:r w:rsidR="00B52977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Таблица №1)</w:t>
      </w:r>
      <w:r w:rsidR="00C35614" w:rsidRP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625C" w:rsidRDefault="006E625C" w:rsidP="00B52977">
      <w:pPr>
        <w:pBdr>
          <w:top w:val="nil"/>
          <w:left w:val="nil"/>
          <w:bottom w:val="nil"/>
          <w:right w:val="nil"/>
        </w:pBdr>
        <w:rPr>
          <w:b/>
          <w:sz w:val="26"/>
          <w:szCs w:val="26"/>
        </w:rPr>
      </w:pPr>
    </w:p>
    <w:p w:rsidR="00650ED1" w:rsidRDefault="00B52977" w:rsidP="00B52977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</w:t>
      </w:r>
      <w:r w:rsidR="00DA7FEA">
        <w:rPr>
          <w:b/>
          <w:sz w:val="26"/>
          <w:szCs w:val="26"/>
        </w:rPr>
        <w:t>Железнодорожная станция Кудринская</w:t>
      </w:r>
      <w:r>
        <w:rPr>
          <w:b/>
          <w:sz w:val="26"/>
          <w:szCs w:val="26"/>
        </w:rPr>
        <w:t>»</w:t>
      </w:r>
      <w:r w:rsidRPr="003B6A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1 квартал 2022 года по расходам</w:t>
      </w: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866ED6" w:rsidRPr="0046614C" w:rsidRDefault="004F07BF" w:rsidP="004F07BF">
      <w:pPr>
        <w:pStyle w:val="af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Расходная часть бюджета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 "</w:t>
      </w:r>
      <w:r w:rsidR="00DA7F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Железнодорожная станция Кудринская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" первично запланирована в сумме 14133419,52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рублей,</w:t>
      </w:r>
      <w:r w:rsidR="00660E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феврале 2022 года изменена Решением Сельской Думы № 64  МО  СП «Железнодорожная станция </w:t>
      </w:r>
      <w:r w:rsidR="00660E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Кудринская» Мещовского района </w:t>
      </w:r>
      <w:r w:rsid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составила сумму в размере 15 977 833,52 рублей (на </w:t>
      </w:r>
      <w:r w:rsidR="0046614C" w:rsidRP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1 844 414,00</w:t>
      </w:r>
      <w:r w:rsid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рублей больше).</w:t>
      </w:r>
      <w:r w:rsidR="00660E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 01.04.2022 год </w:t>
      </w:r>
      <w:proofErr w:type="gramStart"/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исполнена</w:t>
      </w:r>
      <w:proofErr w:type="gramEnd"/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сумме 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2 797 198,16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рубл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полнение составляет 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%</w:t>
      </w:r>
      <w:r w:rsidR="00C356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к первичным показателям</w:t>
      </w:r>
      <w:r w:rsidR="00866ED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или 17% - к измененным плановым показателям</w:t>
      </w:r>
      <w:r w:rsidRPr="00126E2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Бюджетные ассигнования были увеличены по:</w:t>
      </w:r>
      <w:r w:rsidR="0046614C" w:rsidRPr="0046614C">
        <w:t xml:space="preserve"> </w:t>
      </w:r>
      <w:r w:rsidR="0046614C" w:rsidRPr="0046614C">
        <w:rPr>
          <w:rFonts w:ascii="Times New Roman" w:hAnsi="Times New Roman" w:cs="Times New Roman"/>
          <w:sz w:val="24"/>
          <w:szCs w:val="24"/>
        </w:rPr>
        <w:t xml:space="preserve">другим вопросам в области национальной экономики на </w:t>
      </w:r>
      <w:r w:rsidR="0046614C" w:rsidRPr="00466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699 533,00 рублей</w:t>
      </w:r>
      <w:r w:rsidR="004661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6614C" w:rsidRDefault="0046614C" w:rsidP="004F07BF">
      <w:pPr>
        <w:pStyle w:val="af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Основное мероприятие "Обеспечение безопасного проживания и жизнедеятельности населения поселения,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обеспечение экологической безопасности,</w:t>
      </w:r>
      <w:r w:rsidR="006B2A3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61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улучшение эстетического состояния объектов благоустройства и их бесперебойного функционирования"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proofErr w:type="gramStart"/>
      <w:r w:rsidRPr="00D70CA0">
        <w:rPr>
          <w:rFonts w:cs="Calibri"/>
          <w:color w:val="000000"/>
          <w:sz w:val="26"/>
          <w:szCs w:val="26"/>
        </w:rPr>
        <w:t xml:space="preserve">Расходы по </w:t>
      </w:r>
      <w:r w:rsidRPr="00D70CA0">
        <w:rPr>
          <w:rFonts w:cs="Calibri"/>
          <w:color w:val="000000"/>
          <w:sz w:val="26"/>
          <w:szCs w:val="26"/>
          <w:u w:val="single"/>
        </w:rPr>
        <w:t>ведомственная целевой программе "Совершенствование методов решения вопросов местного значения и создание условий муниципальной службы в СП "Железнодорожная станция Кудринская"</w:t>
      </w:r>
      <w:r w:rsidRPr="00D70CA0">
        <w:rPr>
          <w:rFonts w:cs="Calibri"/>
          <w:color w:val="000000"/>
          <w:sz w:val="26"/>
          <w:szCs w:val="26"/>
        </w:rPr>
        <w:t xml:space="preserve"> исполнены в сумме 802 404,46 рублей, что составляет 15,1%. к утвержденной росписи расходов на 2022 год;</w:t>
      </w:r>
      <w:proofErr w:type="gramEnd"/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D70CA0">
        <w:rPr>
          <w:rFonts w:cs="Calibri"/>
          <w:color w:val="000000"/>
          <w:sz w:val="26"/>
          <w:szCs w:val="26"/>
        </w:rPr>
        <w:t>Расходы на осуществление первичного воинского учёта исполнены в сумме 74 280,00 рублей, что составляет 18,9%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D70CA0">
        <w:rPr>
          <w:rFonts w:cs="Calibri"/>
          <w:color w:val="000000"/>
          <w:sz w:val="26"/>
          <w:szCs w:val="26"/>
        </w:rPr>
        <w:t xml:space="preserve">Расходы  по </w:t>
      </w:r>
      <w:r w:rsidRPr="00D70CA0">
        <w:rPr>
          <w:rFonts w:cs="Calibri"/>
          <w:color w:val="000000"/>
          <w:sz w:val="26"/>
          <w:szCs w:val="26"/>
          <w:u w:val="single"/>
        </w:rPr>
        <w:t xml:space="preserve">муниципальной программе "Развитие дорожного хозяйства на территории сельского поселения "Железнодорожная станция Кудринская" исполнены в сумме 317 875,34 рублей, что </w:t>
      </w:r>
      <w:r w:rsidRPr="00D70CA0">
        <w:rPr>
          <w:rFonts w:cs="Calibri"/>
          <w:b/>
          <w:color w:val="000000"/>
          <w:sz w:val="26"/>
          <w:szCs w:val="26"/>
          <w:u w:val="single"/>
        </w:rPr>
        <w:t>составляет 57,6 %.</w:t>
      </w:r>
      <w:r w:rsidRPr="00D70CA0">
        <w:rPr>
          <w:rFonts w:cs="Calibri"/>
          <w:color w:val="000000"/>
          <w:sz w:val="26"/>
          <w:szCs w:val="26"/>
        </w:rPr>
        <w:t xml:space="preserve">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D70CA0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"Управление имущественным комплексом в сельском  поселении "Железнодорожная станция Кудринская"</w:t>
      </w:r>
      <w:r w:rsidRPr="00D70CA0">
        <w:rPr>
          <w:rFonts w:cs="Calibri"/>
          <w:color w:val="000000"/>
          <w:sz w:val="26"/>
          <w:szCs w:val="26"/>
        </w:rPr>
        <w:t xml:space="preserve"> исполнены в сумме 3 500,00 рублей, что составляет 0,46%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D70CA0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"Развитие потребительской кооперации на территории сельского поселения "Железнодорожная станция Кудринская"</w:t>
      </w:r>
      <w:r w:rsidRPr="00D70CA0">
        <w:rPr>
          <w:rFonts w:cs="Calibri"/>
          <w:color w:val="000000"/>
          <w:sz w:val="26"/>
          <w:szCs w:val="26"/>
        </w:rPr>
        <w:t xml:space="preserve"> исполнены в сумме 30 000,00 рублей, что составляет 25%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D70CA0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"Обеспечение доступным и комфортным жильём и коммунальными услугами населения СП "Железнодорожная станция Кудринская"</w:t>
      </w:r>
      <w:r w:rsidRPr="00D70CA0">
        <w:rPr>
          <w:rFonts w:cs="Calibri"/>
          <w:color w:val="000000"/>
          <w:sz w:val="26"/>
          <w:szCs w:val="26"/>
        </w:rPr>
        <w:t xml:space="preserve"> исполнены  в сумме 14 756,56 рублей, что составляет 18,3%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Pr="00D70CA0">
        <w:rPr>
          <w:rFonts w:cs="Calibri"/>
          <w:color w:val="000000"/>
          <w:sz w:val="26"/>
          <w:szCs w:val="26"/>
        </w:rPr>
        <w:t>Расходы по муниципальной программе "Благоустройство территории сельского  поселения "Железнодорожная станция Кудринская" исполнены в сумме  270 124,13 рублей, что составляет 8,9%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D70CA0">
        <w:rPr>
          <w:rFonts w:cs="Calibri"/>
          <w:color w:val="000000"/>
          <w:sz w:val="26"/>
          <w:szCs w:val="26"/>
        </w:rPr>
        <w:t xml:space="preserve"> в том числе: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D70CA0">
        <w:rPr>
          <w:rFonts w:cs="Calibri"/>
          <w:color w:val="000000"/>
          <w:sz w:val="26"/>
          <w:szCs w:val="26"/>
        </w:rPr>
        <w:t>-Расходы на освещение улиц составили 74 727,33 рублей, что составляет 11%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proofErr w:type="gramStart"/>
      <w:r w:rsidRPr="00D70CA0">
        <w:rPr>
          <w:rFonts w:cs="Calibri"/>
          <w:color w:val="000000"/>
          <w:sz w:val="26"/>
          <w:szCs w:val="26"/>
        </w:rPr>
        <w:t>-Расходы по содержанию мест захоронения в исполнены в сумме 6 818,00, что составляет 9,1% к утвержденной росписи расходов на 2022 год;</w:t>
      </w:r>
      <w:proofErr w:type="gramEnd"/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D70CA0">
        <w:rPr>
          <w:rFonts w:cs="Calibri"/>
          <w:color w:val="000000"/>
          <w:sz w:val="26"/>
          <w:szCs w:val="26"/>
        </w:rPr>
        <w:t>-Расходы по поддержанию и улучшению санитарного и эстетического состояния территории исполнены в сумме 188 578,80 рублей, что составляет 12,1% к утвержденной росписи расходов на 2022 год;</w:t>
      </w:r>
    </w:p>
    <w:p w:rsidR="00D70CA0" w:rsidRPr="00D70CA0" w:rsidRDefault="00D70CA0" w:rsidP="00D70CA0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Pr="00D70CA0">
        <w:rPr>
          <w:rFonts w:cs="Calibri"/>
          <w:color w:val="000000"/>
          <w:sz w:val="26"/>
          <w:szCs w:val="26"/>
          <w:u w:val="single"/>
        </w:rPr>
        <w:t>Расходы по муниципальной программе сельского поселения "Железнодорожная станция Кудринская" "Развитие культуры в сельском поселении "Железнодорожная станция Кудринская"</w:t>
      </w:r>
      <w:r w:rsidRPr="00D70CA0">
        <w:rPr>
          <w:rFonts w:cs="Calibri"/>
          <w:color w:val="000000"/>
          <w:sz w:val="26"/>
          <w:szCs w:val="26"/>
        </w:rPr>
        <w:t xml:space="preserve"> исполнены в сумме 782 088,72 рублей, что составляет 19,7% к утвержденной росписи расходов на 2022 год; </w:t>
      </w:r>
    </w:p>
    <w:p w:rsidR="00D70CA0" w:rsidRPr="00734EAA" w:rsidRDefault="00D70CA0" w:rsidP="00734EAA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D70CA0">
        <w:rPr>
          <w:rFonts w:cs="Calibri"/>
          <w:color w:val="000000"/>
          <w:sz w:val="26"/>
          <w:szCs w:val="26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</w:t>
      </w:r>
      <w:r>
        <w:rPr>
          <w:rFonts w:cs="Calibri"/>
          <w:color w:val="000000"/>
          <w:sz w:val="26"/>
          <w:szCs w:val="26"/>
        </w:rPr>
        <w:t xml:space="preserve"> </w:t>
      </w:r>
      <w:r w:rsidRPr="00D70CA0">
        <w:rPr>
          <w:rFonts w:cs="Calibri"/>
          <w:color w:val="000000"/>
          <w:sz w:val="26"/>
          <w:szCs w:val="26"/>
        </w:rPr>
        <w:t xml:space="preserve">- коммунальных услуг работникам культуры) </w:t>
      </w:r>
      <w:r w:rsidRPr="00D70CA0">
        <w:rPr>
          <w:rFonts w:cs="Calibri"/>
          <w:color w:val="000000"/>
          <w:sz w:val="26"/>
          <w:szCs w:val="26"/>
        </w:rPr>
        <w:lastRenderedPageBreak/>
        <w:t>исполнены в сумме 34 613,00 рублей, что составляет 27,5%  к утвержденн</w:t>
      </w:r>
      <w:r>
        <w:rPr>
          <w:rFonts w:cs="Calibri"/>
          <w:color w:val="000000"/>
          <w:sz w:val="26"/>
          <w:szCs w:val="26"/>
        </w:rPr>
        <w:t>ой росписи расходов на 2022 год (</w:t>
      </w:r>
      <w:proofErr w:type="gramStart"/>
      <w:r>
        <w:rPr>
          <w:rFonts w:cs="Calibri"/>
          <w:color w:val="000000"/>
          <w:sz w:val="26"/>
          <w:szCs w:val="26"/>
        </w:rPr>
        <w:t>см</w:t>
      </w:r>
      <w:proofErr w:type="gramEnd"/>
      <w:r>
        <w:rPr>
          <w:rFonts w:cs="Calibri"/>
          <w:color w:val="000000"/>
          <w:sz w:val="26"/>
          <w:szCs w:val="26"/>
        </w:rPr>
        <w:t>. Таблица №2)</w:t>
      </w:r>
    </w:p>
    <w:p w:rsidR="00D70CA0" w:rsidRDefault="00D70CA0" w:rsidP="00734EAA">
      <w:pPr>
        <w:jc w:val="both"/>
        <w:rPr>
          <w:sz w:val="26"/>
          <w:szCs w:val="26"/>
        </w:rPr>
      </w:pPr>
    </w:p>
    <w:p w:rsidR="004F07BF" w:rsidRPr="00D70CA0" w:rsidRDefault="004F07BF" w:rsidP="00D70CA0">
      <w:pPr>
        <w:ind w:left="-284" w:firstLine="283"/>
        <w:jc w:val="both"/>
        <w:rPr>
          <w:b/>
          <w:sz w:val="26"/>
          <w:szCs w:val="26"/>
        </w:rPr>
      </w:pPr>
      <w:r w:rsidRPr="00D70CA0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4F07BF" w:rsidRDefault="004F07BF" w:rsidP="008E46E3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6715F8" w:rsidRPr="006715F8" w:rsidRDefault="006715F8" w:rsidP="008E46E3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ст.59  Положения о бюджетном процессе в сельском поселении</w:t>
      </w:r>
    </w:p>
    <w:p w:rsidR="00734EAA" w:rsidRPr="006715F8" w:rsidRDefault="006715F8" w:rsidP="008E46E3">
      <w:pPr>
        <w:ind w:left="284" w:hanging="284"/>
        <w:jc w:val="both"/>
        <w:rPr>
          <w:sz w:val="26"/>
          <w:szCs w:val="26"/>
        </w:rPr>
      </w:pPr>
      <w:r w:rsidRPr="006715F8">
        <w:rPr>
          <w:sz w:val="26"/>
          <w:szCs w:val="26"/>
        </w:rPr>
        <w:t xml:space="preserve"> </w:t>
      </w:r>
      <w:r w:rsidR="005D0035">
        <w:rPr>
          <w:sz w:val="26"/>
          <w:szCs w:val="26"/>
        </w:rPr>
        <w:t xml:space="preserve">   </w:t>
      </w:r>
      <w:proofErr w:type="gramStart"/>
      <w:r w:rsidRPr="006715F8">
        <w:rPr>
          <w:sz w:val="26"/>
          <w:szCs w:val="26"/>
        </w:rPr>
        <w:t>«Железнодорожная станция</w:t>
      </w:r>
      <w:r>
        <w:rPr>
          <w:sz w:val="26"/>
          <w:szCs w:val="26"/>
        </w:rPr>
        <w:t xml:space="preserve"> </w:t>
      </w:r>
      <w:r w:rsidRPr="006715F8">
        <w:rPr>
          <w:sz w:val="26"/>
          <w:szCs w:val="26"/>
        </w:rPr>
        <w:t>Кудринская»</w:t>
      </w:r>
      <w:r w:rsidR="00AF4F0A">
        <w:rPr>
          <w:sz w:val="26"/>
          <w:szCs w:val="26"/>
        </w:rPr>
        <w:t xml:space="preserve"> (</w:t>
      </w:r>
      <w:r>
        <w:rPr>
          <w:sz w:val="26"/>
          <w:szCs w:val="26"/>
        </w:rPr>
        <w:t>утв</w:t>
      </w:r>
      <w:r w:rsidR="00AF4F0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Решением Сельской Думы МО СП «Железнодорожная станция </w:t>
      </w:r>
      <w:r w:rsidR="005D0035">
        <w:rPr>
          <w:sz w:val="26"/>
          <w:szCs w:val="26"/>
        </w:rPr>
        <w:t xml:space="preserve"> </w:t>
      </w:r>
      <w:r>
        <w:rPr>
          <w:sz w:val="26"/>
          <w:szCs w:val="26"/>
        </w:rPr>
        <w:t>Кудринская» Мещовского района №30 от 23.03.2021 года</w:t>
      </w:r>
      <w:r w:rsidR="00353A9C">
        <w:rPr>
          <w:sz w:val="26"/>
          <w:szCs w:val="26"/>
        </w:rPr>
        <w:t xml:space="preserve">) предоставляется </w:t>
      </w:r>
      <w:r>
        <w:rPr>
          <w:sz w:val="26"/>
          <w:szCs w:val="26"/>
        </w:rPr>
        <w:t xml:space="preserve"> </w:t>
      </w:r>
      <w:r w:rsidR="00353A9C">
        <w:rPr>
          <w:sz w:val="26"/>
          <w:szCs w:val="26"/>
        </w:rPr>
        <w:t xml:space="preserve">отчет  </w:t>
      </w:r>
      <w:r w:rsidR="00C57A4C">
        <w:rPr>
          <w:sz w:val="26"/>
          <w:szCs w:val="26"/>
        </w:rPr>
        <w:t xml:space="preserve">об исполнении </w:t>
      </w:r>
      <w:r w:rsidR="005D0035">
        <w:rPr>
          <w:sz w:val="26"/>
          <w:szCs w:val="26"/>
        </w:rPr>
        <w:t xml:space="preserve">сельского поселения </w:t>
      </w:r>
      <w:r w:rsidR="00734EAA" w:rsidRPr="006715F8">
        <w:rPr>
          <w:sz w:val="26"/>
          <w:szCs w:val="26"/>
        </w:rPr>
        <w:t>"Железнодорожная станция</w:t>
      </w:r>
      <w:r w:rsidR="00353A9C">
        <w:rPr>
          <w:sz w:val="26"/>
          <w:szCs w:val="26"/>
        </w:rPr>
        <w:t xml:space="preserve"> </w:t>
      </w:r>
      <w:r w:rsidR="00734EAA" w:rsidRPr="006715F8">
        <w:rPr>
          <w:sz w:val="26"/>
          <w:szCs w:val="26"/>
        </w:rPr>
        <w:t xml:space="preserve"> Кудринская" за 1 квартал, полугодие, 9 месяцев  2022 года</w:t>
      </w:r>
      <w:r w:rsidR="00353A9C">
        <w:rPr>
          <w:sz w:val="26"/>
          <w:szCs w:val="26"/>
        </w:rPr>
        <w:t xml:space="preserve"> в виде информации  по доходам, по расходам </w:t>
      </w:r>
      <w:r w:rsidR="005D0035">
        <w:rPr>
          <w:sz w:val="26"/>
          <w:szCs w:val="26"/>
        </w:rPr>
        <w:t>и по источникам финансирования дефицита бюджета за соответствующие периоды.</w:t>
      </w:r>
      <w:proofErr w:type="gramEnd"/>
    </w:p>
    <w:p w:rsidR="004F07BF" w:rsidRPr="008E46E3" w:rsidRDefault="005D0035" w:rsidP="008E46E3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4F07BF" w:rsidRPr="008E46E3">
        <w:rPr>
          <w:sz w:val="26"/>
          <w:szCs w:val="26"/>
        </w:rPr>
        <w:t xml:space="preserve"> п. 5 ст. 264.2 БК РФ отчет «Об исполнении бюджета за 1 квартал  2022 года» направить на рассмотрение в Сельскую Думу СП «</w:t>
      </w:r>
      <w:r w:rsidR="00DA7FEA" w:rsidRPr="008E46E3">
        <w:rPr>
          <w:sz w:val="26"/>
          <w:szCs w:val="26"/>
        </w:rPr>
        <w:t>Железнодорожная станция Кудринская</w:t>
      </w:r>
      <w:r w:rsidR="004F07BF" w:rsidRPr="008E46E3">
        <w:rPr>
          <w:sz w:val="26"/>
          <w:szCs w:val="26"/>
        </w:rPr>
        <w:t>».</w:t>
      </w:r>
    </w:p>
    <w:p w:rsidR="00AC23E5" w:rsidRPr="00AF4F0A" w:rsidRDefault="004F07BF" w:rsidP="00AF4F0A">
      <w:pPr>
        <w:pStyle w:val="a3"/>
        <w:numPr>
          <w:ilvl w:val="0"/>
          <w:numId w:val="30"/>
        </w:numPr>
        <w:ind w:left="284" w:hanging="284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бюджета </w:t>
      </w:r>
      <w:r>
        <w:rPr>
          <w:sz w:val="26"/>
          <w:szCs w:val="26"/>
        </w:rPr>
        <w:t xml:space="preserve"> СП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A7FEA">
        <w:rPr>
          <w:sz w:val="26"/>
          <w:szCs w:val="26"/>
        </w:rPr>
        <w:t>Железнодорожная станция Кудринская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 xml:space="preserve"> за 1 квартал 2022 года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>соответствии со</w:t>
      </w:r>
      <w:r>
        <w:rPr>
          <w:sz w:val="26"/>
          <w:szCs w:val="26"/>
        </w:rPr>
        <w:t xml:space="preserve"> ст.36 БК РФ, п.6 ст.52  № 131 </w:t>
      </w:r>
      <w:r w:rsidRPr="001038B8">
        <w:rPr>
          <w:sz w:val="26"/>
          <w:szCs w:val="26"/>
        </w:rPr>
        <w:t>- ФЗ от 06.10.2003 года.</w:t>
      </w:r>
    </w:p>
    <w:p w:rsidR="004F07BF" w:rsidRDefault="00AF4F0A" w:rsidP="00AF4F0A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F07BF" w:rsidRPr="001038B8">
        <w:rPr>
          <w:sz w:val="26"/>
          <w:szCs w:val="26"/>
        </w:rPr>
        <w:t>Фактов недостоверных отчетных данных  и искажений бюджетной отчетности за 1 квартал  2022 года не установлено.</w:t>
      </w:r>
      <w:r>
        <w:rPr>
          <w:sz w:val="26"/>
          <w:szCs w:val="26"/>
        </w:rPr>
        <w:t xml:space="preserve"> </w:t>
      </w:r>
      <w:r w:rsidR="004F07BF" w:rsidRPr="00143F93">
        <w:rPr>
          <w:sz w:val="26"/>
          <w:szCs w:val="26"/>
        </w:rPr>
        <w:t>Заключение</w:t>
      </w:r>
      <w:r w:rsidR="004F07BF">
        <w:rPr>
          <w:b/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представляется 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комиссией по бюджету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>в </w:t>
      </w:r>
      <w:r w:rsidR="004F07BF">
        <w:rPr>
          <w:sz w:val="26"/>
          <w:szCs w:val="26"/>
        </w:rPr>
        <w:t xml:space="preserve"> Сельскую</w:t>
      </w:r>
      <w:r w:rsidR="004F07BF" w:rsidRPr="003F0359">
        <w:rPr>
          <w:sz w:val="26"/>
          <w:szCs w:val="26"/>
        </w:rPr>
        <w:t xml:space="preserve"> Думу </w:t>
      </w:r>
      <w:r w:rsidR="004F07BF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 xml:space="preserve">с одновременным направлением </w:t>
      </w:r>
      <w:r w:rsidR="00AC23E5">
        <w:rPr>
          <w:sz w:val="26"/>
          <w:szCs w:val="26"/>
        </w:rPr>
        <w:t xml:space="preserve"> </w:t>
      </w:r>
      <w:r w:rsidR="004F07BF" w:rsidRPr="003F0359">
        <w:rPr>
          <w:sz w:val="26"/>
          <w:szCs w:val="26"/>
        </w:rPr>
        <w:t xml:space="preserve">Главе администрации </w:t>
      </w:r>
      <w:r w:rsidR="004F07BF">
        <w:rPr>
          <w:sz w:val="26"/>
          <w:szCs w:val="26"/>
        </w:rPr>
        <w:t>СП «</w:t>
      </w:r>
      <w:r w:rsidR="00DA7FEA">
        <w:rPr>
          <w:sz w:val="26"/>
          <w:szCs w:val="26"/>
        </w:rPr>
        <w:t>Железнодорожная станция Кудринская</w:t>
      </w:r>
      <w:r w:rsidR="004F07BF">
        <w:rPr>
          <w:sz w:val="26"/>
          <w:szCs w:val="26"/>
        </w:rPr>
        <w:t>»</w:t>
      </w:r>
      <w:r w:rsidR="004F07BF" w:rsidRPr="003F0359">
        <w:rPr>
          <w:sz w:val="26"/>
          <w:szCs w:val="26"/>
        </w:rPr>
        <w:t xml:space="preserve"> </w:t>
      </w:r>
      <w:r w:rsidR="004F07BF">
        <w:rPr>
          <w:sz w:val="26"/>
          <w:szCs w:val="26"/>
        </w:rPr>
        <w:t>Мещовского района</w:t>
      </w:r>
      <w:r w:rsidR="00AC23E5">
        <w:rPr>
          <w:sz w:val="26"/>
          <w:szCs w:val="26"/>
        </w:rPr>
        <w:t>.</w:t>
      </w:r>
    </w:p>
    <w:p w:rsidR="00AC23E5" w:rsidRDefault="00AC23E5" w:rsidP="00AC23E5">
      <w:pPr>
        <w:rPr>
          <w:rFonts w:cs="Calibri"/>
          <w:sz w:val="26"/>
          <w:szCs w:val="26"/>
        </w:rPr>
      </w:pPr>
    </w:p>
    <w:p w:rsidR="00AC23E5" w:rsidRPr="00511CA1" w:rsidRDefault="00AC23E5" w:rsidP="00AC23E5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AC23E5" w:rsidRDefault="00AC23E5" w:rsidP="00AC23E5">
      <w:pPr>
        <w:spacing w:line="276" w:lineRule="auto"/>
        <w:jc w:val="both"/>
        <w:rPr>
          <w:b/>
          <w:i/>
          <w:sz w:val="26"/>
          <w:szCs w:val="26"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Д.В. Каничева</w:t>
      </w:r>
    </w:p>
    <w:p w:rsidR="00AC23E5" w:rsidRPr="00AC23E5" w:rsidRDefault="00AC23E5" w:rsidP="00AC23E5">
      <w:pPr>
        <w:rPr>
          <w:rFonts w:cs="Calibri"/>
          <w:sz w:val="26"/>
          <w:szCs w:val="26"/>
        </w:rPr>
        <w:sectPr w:rsidR="00AC23E5" w:rsidRPr="00AC23E5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 1</w:t>
      </w:r>
    </w:p>
    <w:p w:rsidR="00625519" w:rsidRPr="00625519" w:rsidRDefault="00625519" w:rsidP="00625519">
      <w:pPr>
        <w:jc w:val="center"/>
        <w:rPr>
          <w:b/>
          <w:bCs/>
        </w:rPr>
      </w:pPr>
      <w:r w:rsidRPr="00625519">
        <w:rPr>
          <w:b/>
          <w:bCs/>
        </w:rPr>
        <w:t>Исполнение бюджета муниципального образования сельского поселения «Железнодорожная станция Кудринская» за I квартал 2022 года по доходам в сравнении с запланированными значениями на 2022 год и соответствующим периодом 2021 года</w:t>
      </w:r>
    </w:p>
    <w:p w:rsidR="00625519" w:rsidRPr="00625519" w:rsidRDefault="00625519" w:rsidP="00625519">
      <w:pPr>
        <w:jc w:val="right"/>
        <w:rPr>
          <w:b/>
          <w:color w:val="000000"/>
          <w:sz w:val="16"/>
          <w:szCs w:val="16"/>
        </w:rPr>
      </w:pPr>
      <w:r w:rsidRPr="00625519">
        <w:rPr>
          <w:b/>
          <w:color w:val="000000"/>
          <w:sz w:val="16"/>
          <w:szCs w:val="16"/>
        </w:rPr>
        <w:t>(рублей)</w:t>
      </w:r>
    </w:p>
    <w:p w:rsidR="00625519" w:rsidRPr="00625519" w:rsidRDefault="00625519" w:rsidP="00625519">
      <w:pPr>
        <w:jc w:val="center"/>
        <w:rPr>
          <w:b/>
          <w:bCs/>
          <w:sz w:val="16"/>
          <w:szCs w:val="16"/>
        </w:rPr>
      </w:pPr>
    </w:p>
    <w:p w:rsidR="00625519" w:rsidRDefault="00625519" w:rsidP="00625519">
      <w:pPr>
        <w:ind w:firstLine="284"/>
        <w:jc w:val="center"/>
        <w:rPr>
          <w:b/>
          <w:sz w:val="26"/>
          <w:szCs w:val="26"/>
        </w:rPr>
      </w:pP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423"/>
        <w:gridCol w:w="1943"/>
        <w:gridCol w:w="1362"/>
        <w:gridCol w:w="2063"/>
        <w:gridCol w:w="1151"/>
        <w:gridCol w:w="1173"/>
      </w:tblGrid>
      <w:tr w:rsidR="00625519" w:rsidRPr="00625519" w:rsidTr="001961E1">
        <w:trPr>
          <w:trHeight w:val="363"/>
        </w:trPr>
        <w:tc>
          <w:tcPr>
            <w:tcW w:w="5353" w:type="dxa"/>
            <w:vMerge w:val="restart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23" w:type="dxa"/>
            <w:vMerge w:val="restart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Код дохода по  бюджетной классификации</w:t>
            </w:r>
          </w:p>
        </w:tc>
        <w:tc>
          <w:tcPr>
            <w:tcW w:w="1943" w:type="dxa"/>
            <w:vMerge w:val="restart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25519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spellEnd"/>
            <w:r w:rsidRPr="00625519">
              <w:rPr>
                <w:b/>
                <w:bCs/>
                <w:color w:val="000000"/>
                <w:sz w:val="16"/>
                <w:szCs w:val="16"/>
              </w:rPr>
              <w:t xml:space="preserve"> 2021 год                                        Исполнено</w:t>
            </w:r>
          </w:p>
        </w:tc>
        <w:tc>
          <w:tcPr>
            <w:tcW w:w="4576" w:type="dxa"/>
            <w:gridSpan w:val="3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1 кв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25519">
              <w:rPr>
                <w:b/>
                <w:bCs/>
                <w:sz w:val="16"/>
                <w:szCs w:val="16"/>
              </w:rPr>
              <w:t xml:space="preserve"> 2022 год</w:t>
            </w:r>
          </w:p>
        </w:tc>
        <w:tc>
          <w:tcPr>
            <w:tcW w:w="1173" w:type="dxa"/>
            <w:vMerge w:val="restart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Темп роста к соответствующему периоду 2021 года, %</w:t>
            </w:r>
          </w:p>
        </w:tc>
      </w:tr>
      <w:tr w:rsidR="00625519" w:rsidRPr="00625519" w:rsidTr="001961E1">
        <w:trPr>
          <w:trHeight w:val="650"/>
        </w:trPr>
        <w:tc>
          <w:tcPr>
            <w:tcW w:w="5353" w:type="dxa"/>
            <w:vMerge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vMerge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vMerge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25519">
              <w:rPr>
                <w:b/>
                <w:bCs/>
                <w:sz w:val="16"/>
                <w:szCs w:val="16"/>
              </w:rPr>
              <w:t>Бюджетные ассигнования в соответствии с Решением Сельской Думы</w:t>
            </w:r>
            <w:r w:rsidRPr="00625519">
              <w:rPr>
                <w:b/>
                <w:bCs/>
                <w:sz w:val="16"/>
                <w:szCs w:val="16"/>
              </w:rPr>
              <w:br/>
              <w:t xml:space="preserve"> от 14.12.2021 № 54 </w:t>
            </w:r>
            <w:r w:rsidRPr="00437204">
              <w:rPr>
                <w:b/>
                <w:bCs/>
                <w:sz w:val="16"/>
                <w:szCs w:val="16"/>
              </w:rPr>
              <w:t>(в ред. от 16.02.2022 № 64</w:t>
            </w:r>
            <w:proofErr w:type="gramEnd"/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73" w:type="dxa"/>
            <w:vMerge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25519" w:rsidRPr="00625519" w:rsidTr="001961E1">
        <w:trPr>
          <w:trHeight w:val="329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 xml:space="preserve">ДОХОДЫ БЮДЖЕТА </w:t>
            </w:r>
            <w:proofErr w:type="gramStart"/>
            <w:r w:rsidRPr="00625519">
              <w:rPr>
                <w:b/>
                <w:bCs/>
                <w:color w:val="000000"/>
                <w:sz w:val="16"/>
                <w:szCs w:val="16"/>
              </w:rPr>
              <w:t>-В</w:t>
            </w:r>
            <w:proofErr w:type="gramEnd"/>
            <w:r w:rsidRPr="00625519">
              <w:rPr>
                <w:b/>
                <w:bCs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242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8 084 629,85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14 738 773,52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3 447 578,57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42,6</w:t>
            </w:r>
          </w:p>
        </w:tc>
      </w:tr>
      <w:tr w:rsidR="00625519" w:rsidRPr="00625519" w:rsidTr="001961E1">
        <w:trPr>
          <w:trHeight w:val="276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892 117,85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5 374 250,00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710 520,75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79,6</w:t>
            </w:r>
          </w:p>
        </w:tc>
      </w:tr>
      <w:tr w:rsidR="00625519" w:rsidRPr="00625519" w:rsidTr="001961E1">
        <w:trPr>
          <w:trHeight w:val="28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620 117,85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4 801 250,00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710 520,75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114,6</w:t>
            </w:r>
          </w:p>
        </w:tc>
      </w:tr>
      <w:tr w:rsidR="00625519" w:rsidRPr="00625519" w:rsidTr="001961E1">
        <w:trPr>
          <w:trHeight w:val="27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70 214,73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330 830,00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57 224,54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81,5</w:t>
            </w:r>
          </w:p>
        </w:tc>
      </w:tr>
      <w:tr w:rsidR="00625519" w:rsidRPr="00625519" w:rsidTr="001961E1">
        <w:trPr>
          <w:trHeight w:val="275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70 214,73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330 830,00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57 224,54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81,5</w:t>
            </w:r>
          </w:p>
        </w:tc>
      </w:tr>
      <w:tr w:rsidR="00625519" w:rsidRPr="00625519" w:rsidTr="001961E1">
        <w:trPr>
          <w:trHeight w:val="280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Налоги на совокупный доход всего, в том числе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365 110,42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1 968 690,00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419 224,88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114,8</w:t>
            </w:r>
          </w:p>
        </w:tc>
      </w:tr>
      <w:tr w:rsidR="00625519" w:rsidRPr="00625519" w:rsidTr="001961E1">
        <w:trPr>
          <w:trHeight w:val="41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365 110,42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1 968 690,00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419 224,88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114,8</w:t>
            </w:r>
          </w:p>
        </w:tc>
      </w:tr>
      <w:tr w:rsidR="00625519" w:rsidRPr="00625519" w:rsidTr="001961E1">
        <w:trPr>
          <w:trHeight w:val="275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279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Налог на профессиональный доход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000 1 05 06000 00 0000 110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127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184 792,70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2 501 730,00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234 071,33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126,7</w:t>
            </w:r>
          </w:p>
        </w:tc>
      </w:tr>
      <w:tr w:rsidR="00625519" w:rsidRPr="00625519" w:rsidTr="001961E1">
        <w:trPr>
          <w:trHeight w:val="215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103 906,72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207 480,00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13 112,15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12,6</w:t>
            </w:r>
          </w:p>
        </w:tc>
      </w:tr>
      <w:tr w:rsidR="00625519" w:rsidRPr="00625519" w:rsidTr="001961E1">
        <w:trPr>
          <w:trHeight w:val="134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80 885,98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2 294 250,00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220 959,18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273,2</w:t>
            </w:r>
          </w:p>
        </w:tc>
      </w:tr>
      <w:tr w:rsidR="00625519" w:rsidRPr="00625519" w:rsidTr="001961E1">
        <w:trPr>
          <w:trHeight w:val="363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5519" w:rsidRPr="00625519" w:rsidTr="001961E1">
        <w:trPr>
          <w:trHeight w:val="586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25519">
              <w:rPr>
                <w:color w:val="000000"/>
                <w:sz w:val="16"/>
                <w:szCs w:val="16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000 1 08 04000 00 0000 110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5519" w:rsidRPr="00625519" w:rsidTr="001961E1">
        <w:trPr>
          <w:trHeight w:val="410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26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418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419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26 250,00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423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275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Штрафы, санкции, возмещение ущерба.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134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25519" w:rsidRPr="00625519" w:rsidTr="001961E1">
        <w:trPr>
          <w:trHeight w:val="284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7 174 512,00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9 338 273,52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2 719 089,52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37,9</w:t>
            </w:r>
          </w:p>
        </w:tc>
      </w:tr>
      <w:tr w:rsidR="00625519" w:rsidRPr="00625519" w:rsidTr="001961E1">
        <w:trPr>
          <w:trHeight w:val="39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62551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7 174 512,00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9 338 273,52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2 719 089,52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37,9</w:t>
            </w:r>
          </w:p>
        </w:tc>
      </w:tr>
      <w:tr w:rsidR="00625519" w:rsidRPr="00625519" w:rsidTr="001961E1">
        <w:trPr>
          <w:trHeight w:val="410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1 848 984,00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7 691 348,00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1 922 838,00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104,0</w:t>
            </w:r>
          </w:p>
        </w:tc>
      </w:tr>
      <w:tr w:rsidR="00625519" w:rsidRPr="00625519" w:rsidTr="001961E1">
        <w:trPr>
          <w:trHeight w:val="403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4 701 510,00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532 354,00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5519" w:rsidRPr="00625519" w:rsidTr="001961E1">
        <w:trPr>
          <w:trHeight w:val="451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79 280,00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392 600,00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74 280,00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625519" w:rsidRPr="00625519" w:rsidTr="001961E1">
        <w:trPr>
          <w:trHeight w:val="217"/>
        </w:trPr>
        <w:tc>
          <w:tcPr>
            <w:tcW w:w="535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Иные  межбюджетные трансферты.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:rsidR="00625519" w:rsidRPr="00625519" w:rsidRDefault="00625519" w:rsidP="00625519">
            <w:pPr>
              <w:jc w:val="center"/>
              <w:rPr>
                <w:sz w:val="16"/>
                <w:szCs w:val="16"/>
              </w:rPr>
            </w:pPr>
            <w:r w:rsidRPr="0062551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94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544 738,00</w:t>
            </w:r>
          </w:p>
        </w:tc>
        <w:tc>
          <w:tcPr>
            <w:tcW w:w="1362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721 971,52</w:t>
            </w:r>
          </w:p>
        </w:tc>
        <w:tc>
          <w:tcPr>
            <w:tcW w:w="206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color w:val="000000"/>
                <w:sz w:val="16"/>
                <w:szCs w:val="16"/>
              </w:rPr>
            </w:pPr>
            <w:r w:rsidRPr="00625519">
              <w:rPr>
                <w:color w:val="000000"/>
                <w:sz w:val="16"/>
                <w:szCs w:val="16"/>
              </w:rPr>
              <w:t>721 971,52</w:t>
            </w:r>
          </w:p>
        </w:tc>
        <w:tc>
          <w:tcPr>
            <w:tcW w:w="1151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3" w:type="dxa"/>
            <w:shd w:val="clear" w:color="auto" w:fill="auto"/>
            <w:hideMark/>
          </w:tcPr>
          <w:p w:rsidR="00625519" w:rsidRPr="00625519" w:rsidRDefault="00625519" w:rsidP="006255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519">
              <w:rPr>
                <w:b/>
                <w:bCs/>
                <w:color w:val="000000"/>
                <w:sz w:val="16"/>
                <w:szCs w:val="16"/>
              </w:rPr>
              <w:t>132,5</w:t>
            </w:r>
          </w:p>
        </w:tc>
      </w:tr>
    </w:tbl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3F439B" w:rsidRDefault="003F439B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125B9E">
        <w:rPr>
          <w:b/>
          <w:sz w:val="26"/>
          <w:szCs w:val="26"/>
        </w:rPr>
        <w:t>Таблица №2</w:t>
      </w:r>
    </w:p>
    <w:p w:rsidR="004F07BF" w:rsidRPr="00125B9E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4F07BF" w:rsidRPr="003F439B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</w:rPr>
      </w:pPr>
      <w:proofErr w:type="gramStart"/>
      <w:r w:rsidRPr="003F439B">
        <w:rPr>
          <w:b/>
        </w:rPr>
        <w:t>Исполнении</w:t>
      </w:r>
      <w:proofErr w:type="gramEnd"/>
      <w:r w:rsidRPr="003F439B">
        <w:rPr>
          <w:b/>
        </w:rPr>
        <w:t xml:space="preserve"> бюджета муниципального образования сельского поселения «</w:t>
      </w:r>
      <w:r w:rsidR="00DA7FEA" w:rsidRPr="003F439B">
        <w:rPr>
          <w:b/>
        </w:rPr>
        <w:t>Железнодорожная станция Кудринская</w:t>
      </w:r>
      <w:r w:rsidRPr="003F439B">
        <w:rPr>
          <w:b/>
        </w:rPr>
        <w:t xml:space="preserve">» за I квартал 2022 года по </w:t>
      </w:r>
      <w:r w:rsidR="001961E1">
        <w:rPr>
          <w:b/>
        </w:rPr>
        <w:t>расходам</w:t>
      </w:r>
      <w:r w:rsidRPr="003F439B">
        <w:rPr>
          <w:b/>
        </w:rPr>
        <w:t xml:space="preserve"> в сравнении с запланированными значениями на 2022 год и соответствующим периодом 2021 года</w:t>
      </w:r>
    </w:p>
    <w:p w:rsidR="004F07BF" w:rsidRDefault="004F07BF" w:rsidP="004F07BF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</w:p>
    <w:p w:rsidR="00923907" w:rsidRPr="00923907" w:rsidRDefault="004F07BF" w:rsidP="00923907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18"/>
          <w:szCs w:val="18"/>
        </w:rPr>
      </w:pPr>
      <w:r w:rsidRPr="00923907">
        <w:rPr>
          <w:sz w:val="18"/>
          <w:szCs w:val="18"/>
        </w:rPr>
        <w:t>(</w:t>
      </w:r>
      <w:r w:rsidR="00E032BE" w:rsidRPr="00923907">
        <w:rPr>
          <w:sz w:val="18"/>
          <w:szCs w:val="18"/>
        </w:rPr>
        <w:t>рублей</w:t>
      </w:r>
      <w:r w:rsidRPr="00923907">
        <w:rPr>
          <w:sz w:val="18"/>
          <w:szCs w:val="18"/>
        </w:rPr>
        <w:t>)</w:t>
      </w:r>
    </w:p>
    <w:tbl>
      <w:tblPr>
        <w:tblW w:w="15547" w:type="dxa"/>
        <w:tblInd w:w="99" w:type="dxa"/>
        <w:tblLayout w:type="fixed"/>
        <w:tblLook w:val="04A0"/>
      </w:tblPr>
      <w:tblGrid>
        <w:gridCol w:w="5396"/>
        <w:gridCol w:w="1134"/>
        <w:gridCol w:w="1134"/>
        <w:gridCol w:w="992"/>
        <w:gridCol w:w="1559"/>
        <w:gridCol w:w="1506"/>
        <w:gridCol w:w="1276"/>
        <w:gridCol w:w="1275"/>
        <w:gridCol w:w="1275"/>
      </w:tblGrid>
      <w:tr w:rsidR="00923907" w:rsidRPr="00923907" w:rsidTr="00923907">
        <w:trPr>
          <w:trHeight w:val="960"/>
        </w:trPr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Первичные плановые показатели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Измененные бюджетные ассигнования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Разница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Исполнение к </w:t>
            </w:r>
            <w:r w:rsidR="001961E1" w:rsidRPr="00923907">
              <w:rPr>
                <w:b/>
                <w:bCs/>
                <w:color w:val="000000"/>
                <w:sz w:val="18"/>
                <w:szCs w:val="18"/>
              </w:rPr>
              <w:t>низменным</w:t>
            </w: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бюджетным ассигнованиям </w:t>
            </w:r>
            <w:proofErr w:type="gramStart"/>
            <w:r w:rsidRPr="00923907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923907" w:rsidRPr="00923907" w:rsidTr="00923907">
        <w:trPr>
          <w:trHeight w:val="350"/>
        </w:trPr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Администрация (исполнительно-распорядительный орган) сельского поселения "Железнодорожная станция Кудринская" Мещовского района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14 133 419,52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15 977 833,52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1 844 414,00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2 797 198,16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17,51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5 310 578,08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5 310 578,08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802 404,46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15,11</w:t>
            </w: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5 310 578,08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5 310 578,08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802 404,46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15,11</w:t>
            </w:r>
          </w:p>
        </w:tc>
      </w:tr>
      <w:tr w:rsidR="00923907" w:rsidRPr="00923907" w:rsidTr="00923907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74 280,00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18,92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74 280,00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18,92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</w:t>
            </w:r>
            <w:r w:rsidRPr="00923907">
              <w:rPr>
                <w:color w:val="000000"/>
                <w:sz w:val="18"/>
                <w:szCs w:val="18"/>
              </w:rPr>
              <w:t>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104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"Обеспечение первичных мер пожарной безопасности в границах населенных пунктов сельского поселения 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660E53">
        <w:trPr>
          <w:trHeight w:val="231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731 629,00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1 431 162,00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699 533,00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351 375,34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24,55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 xml:space="preserve">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317 875,34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57,62</w:t>
            </w: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"Развитие дорожного хозяйства в СП ""Железнодорожная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551 629,00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317 875,34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57,62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879 533,00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699 533,00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3,81</w:t>
            </w:r>
          </w:p>
        </w:tc>
      </w:tr>
      <w:tr w:rsidR="00923907" w:rsidRPr="00923907" w:rsidTr="00923907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2 307 347,52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3 153 358,06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846 010,54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284 880,69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9,03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14 756,56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15,48</w:t>
            </w:r>
          </w:p>
        </w:tc>
      </w:tr>
      <w:tr w:rsidR="00923907" w:rsidRPr="00923907" w:rsidTr="00923907">
        <w:trPr>
          <w:trHeight w:val="104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"Обеспечение доступным и комфортным жильем и коммунальными услугами населения сельского поселения 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14 756,56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15,48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14 756,56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15,48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05 0 00 05040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14 756,56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15,48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05 0 00 05040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95 342,52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14 756,56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15,48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2 212 005,00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846 010,54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270 124,13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8,83</w:t>
            </w:r>
          </w:p>
        </w:tc>
      </w:tr>
      <w:tr w:rsidR="00923907" w:rsidRPr="00923907" w:rsidTr="00923907">
        <w:trPr>
          <w:trHeight w:val="104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"Благоустройство территории сельского поселения 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2 212 005,00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846 010,54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270 124,13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8,83</w:t>
            </w:r>
          </w:p>
        </w:tc>
      </w:tr>
      <w:tr w:rsidR="00923907" w:rsidRPr="00923907" w:rsidTr="00923907">
        <w:trPr>
          <w:trHeight w:val="104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</w:t>
            </w:r>
            <w:r w:rsidR="00660E53">
              <w:rPr>
                <w:color w:val="000000"/>
                <w:sz w:val="18"/>
                <w:szCs w:val="18"/>
              </w:rPr>
              <w:t xml:space="preserve"> </w:t>
            </w:r>
            <w:r w:rsidRPr="00923907">
              <w:rPr>
                <w:color w:val="000000"/>
                <w:sz w:val="18"/>
                <w:szCs w:val="18"/>
              </w:rPr>
              <w:t>обеспечение экологической безопасности,</w:t>
            </w:r>
            <w:r w:rsidR="00660E53">
              <w:rPr>
                <w:color w:val="000000"/>
                <w:sz w:val="18"/>
                <w:szCs w:val="18"/>
              </w:rPr>
              <w:t xml:space="preserve"> </w:t>
            </w:r>
            <w:r w:rsidRPr="00923907">
              <w:rPr>
                <w:color w:val="000000"/>
                <w:sz w:val="18"/>
                <w:szCs w:val="18"/>
              </w:rPr>
              <w:t>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2 212 005,00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3 058 015,54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846 010,54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270 124,13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8,83</w:t>
            </w:r>
          </w:p>
        </w:tc>
      </w:tr>
      <w:tr w:rsidR="00923907" w:rsidRPr="00923907" w:rsidTr="00660E53">
        <w:trPr>
          <w:trHeight w:val="201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74 727,33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10,97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74 727,33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10,97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74 727,33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10,97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1 455 805,00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1 551 309,54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95 504,54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188 578,80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12,16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1 455 805,00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1 551 309,54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95 504,54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188 578,80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12,16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1 455 805,00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1 551 309,54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95 504,54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188 578,80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12,16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Основное мероприятие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lastRenderedPageBreak/>
              <w:t>Реализация мероприятий по созданию и развитию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02 S8550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02 S8550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02 S8550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750 506,00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Основное мероприятие "Осуществление части полномочий по организации ритуальных услуг и содержанию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6 818,00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9,09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50 0 03 60250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6 818,00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9,09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50 0 03 60250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6 818,00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9,09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50 0 03 60250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6 818,00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9,09</w:t>
            </w:r>
          </w:p>
        </w:tc>
      </w:tr>
      <w:tr w:rsidR="00923907" w:rsidRPr="00923907" w:rsidTr="00923907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5 205 257,00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5 504 127,46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298 870,46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1 249 644,67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22,70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5 205 257,00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5 344 317,00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1 249 644,67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23,38</w:t>
            </w: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Муниципальная программа сельского поселения "Железнодорожная станция Кудринская" "Развитие культуры сельского поселения 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5 205 257,00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5 344 317,00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1 249 644,67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23,38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Основное мероприятие "Выполнение функций по организации и проведению мероприятий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5 205 257,00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5 344 317,00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1 249 644,67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23,38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Содержание и развитие муниципального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5 205 257,00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5 344 317,00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1 249 644,67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23,38</w:t>
            </w:r>
          </w:p>
        </w:tc>
      </w:tr>
      <w:tr w:rsidR="00923907" w:rsidRPr="00923907" w:rsidTr="00923907">
        <w:trPr>
          <w:trHeight w:val="104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3 937 007,00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3 976 067,00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782 088,72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19,67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3 937 007,00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3 976 067,00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39 060,00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782 088,72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19,67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1 263 250,00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1 363 250,00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467 055,95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34,26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1 263 250,00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1 363 250,00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467 055,95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34,26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10,00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10,00</w:t>
            </w: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lastRenderedPageBreak/>
              <w:t>Основное мероприятие "Ремонт (реставрация), реконструкций зданий и внутренних помещений учреждений культуры, укрепление  и развитие их материально-технической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7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Реализация инициативного проекта "Ремонт кровли сельского Дома культуры по адресу:</w:t>
            </w:r>
            <w:r w:rsidR="00660E53">
              <w:rPr>
                <w:color w:val="000000"/>
                <w:sz w:val="18"/>
                <w:szCs w:val="18"/>
              </w:rPr>
              <w:t xml:space="preserve"> </w:t>
            </w:r>
            <w:r w:rsidRPr="00923907">
              <w:rPr>
                <w:color w:val="000000"/>
                <w:sz w:val="18"/>
                <w:szCs w:val="18"/>
              </w:rPr>
              <w:t>Калужская область,</w:t>
            </w:r>
            <w:r w:rsidR="00660E53">
              <w:rPr>
                <w:color w:val="000000"/>
                <w:sz w:val="18"/>
                <w:szCs w:val="18"/>
              </w:rPr>
              <w:t xml:space="preserve"> </w:t>
            </w:r>
            <w:r w:rsidRPr="00923907">
              <w:rPr>
                <w:color w:val="000000"/>
                <w:sz w:val="18"/>
                <w:szCs w:val="18"/>
              </w:rPr>
              <w:t>Мещовский район,д</w:t>
            </w:r>
            <w:proofErr w:type="gramStart"/>
            <w:r w:rsidRPr="00923907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23907">
              <w:rPr>
                <w:color w:val="000000"/>
                <w:sz w:val="18"/>
                <w:szCs w:val="18"/>
              </w:rPr>
              <w:t>артышово,ул.Центральная,д.13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02 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02 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52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11 0 02 S0240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159 810,46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0,00</w:t>
            </w:r>
          </w:p>
        </w:tc>
      </w:tr>
      <w:tr w:rsidR="00923907" w:rsidRPr="00923907" w:rsidTr="00923907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923907">
        <w:trPr>
          <w:trHeight w:val="26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923907">
        <w:trPr>
          <w:trHeight w:val="888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"Железнодорожная станция Кудринская"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660E53">
        <w:trPr>
          <w:trHeight w:val="419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Основное мероприятие "Предоставление денежных выплат,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23907">
              <w:rPr>
                <w:color w:val="000000"/>
                <w:sz w:val="18"/>
                <w:szCs w:val="18"/>
              </w:rPr>
              <w:t>пособий и компенсаций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660E53">
        <w:trPr>
          <w:trHeight w:val="836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60 0 03 03420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660E53">
        <w:trPr>
          <w:trHeight w:val="281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60 0 03 03420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660E53">
        <w:trPr>
          <w:trHeight w:val="273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60 0 03 03420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126 007,92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color w:val="000000"/>
                <w:sz w:val="18"/>
                <w:szCs w:val="18"/>
              </w:rPr>
            </w:pPr>
            <w:r w:rsidRPr="00923907">
              <w:rPr>
                <w:color w:val="000000"/>
                <w:sz w:val="18"/>
                <w:szCs w:val="18"/>
              </w:rPr>
              <w:t>34 613,00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27,47</w:t>
            </w:r>
          </w:p>
        </w:tc>
      </w:tr>
      <w:tr w:rsidR="00923907" w:rsidRPr="00923907" w:rsidTr="00923907">
        <w:trPr>
          <w:trHeight w:val="280"/>
        </w:trPr>
        <w:tc>
          <w:tcPr>
            <w:tcW w:w="5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14133419,52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15 977 833,52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1 844 414,00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3907" w:rsidRPr="00923907" w:rsidRDefault="00923907" w:rsidP="009239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23907">
              <w:rPr>
                <w:b/>
                <w:bCs/>
                <w:color w:val="000000"/>
                <w:sz w:val="18"/>
                <w:szCs w:val="18"/>
              </w:rPr>
              <w:t>2 797 198,16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07" w:rsidRPr="00923907" w:rsidRDefault="00923907" w:rsidP="00923907">
            <w:pPr>
              <w:jc w:val="right"/>
              <w:rPr>
                <w:sz w:val="18"/>
                <w:szCs w:val="18"/>
              </w:rPr>
            </w:pPr>
            <w:r w:rsidRPr="00923907">
              <w:rPr>
                <w:sz w:val="18"/>
                <w:szCs w:val="18"/>
              </w:rPr>
              <w:t>17,51</w:t>
            </w:r>
          </w:p>
        </w:tc>
      </w:tr>
    </w:tbl>
    <w:p w:rsidR="00923907" w:rsidRDefault="00923907" w:rsidP="003F439B">
      <w:pPr>
        <w:tabs>
          <w:tab w:val="left" w:pos="6990"/>
        </w:tabs>
        <w:rPr>
          <w:sz w:val="26"/>
          <w:szCs w:val="26"/>
        </w:rPr>
      </w:pPr>
    </w:p>
    <w:p w:rsidR="003F439B" w:rsidRDefault="003F439B" w:rsidP="003F439B">
      <w:pPr>
        <w:tabs>
          <w:tab w:val="left" w:pos="6990"/>
        </w:tabs>
        <w:rPr>
          <w:sz w:val="26"/>
          <w:szCs w:val="26"/>
        </w:rPr>
      </w:pPr>
    </w:p>
    <w:p w:rsidR="003F439B" w:rsidRDefault="003F439B" w:rsidP="003F439B">
      <w:pPr>
        <w:rPr>
          <w:sz w:val="26"/>
          <w:szCs w:val="26"/>
        </w:rPr>
      </w:pPr>
    </w:p>
    <w:p w:rsidR="006423F9" w:rsidRPr="003F439B" w:rsidRDefault="006423F9" w:rsidP="003F439B">
      <w:pPr>
        <w:rPr>
          <w:sz w:val="26"/>
          <w:szCs w:val="26"/>
        </w:rPr>
        <w:sectPr w:rsidR="006423F9" w:rsidRPr="003F439B" w:rsidSect="004F07BF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</w:p>
    <w:p w:rsidR="00AC23E5" w:rsidRPr="00AC23E5" w:rsidRDefault="00AC23E5" w:rsidP="00AC23E5">
      <w:pPr>
        <w:tabs>
          <w:tab w:val="left" w:pos="1258"/>
        </w:tabs>
      </w:pPr>
    </w:p>
    <w:sectPr w:rsidR="00AC23E5" w:rsidRPr="00AC23E5" w:rsidSect="004F07B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90" w:rsidRDefault="00186390" w:rsidP="00726BAD">
      <w:r>
        <w:separator/>
      </w:r>
    </w:p>
  </w:endnote>
  <w:endnote w:type="continuationSeparator" w:id="0">
    <w:p w:rsidR="00186390" w:rsidRDefault="00186390" w:rsidP="0072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90" w:rsidRDefault="00186390" w:rsidP="00726BAD">
      <w:r>
        <w:separator/>
      </w:r>
    </w:p>
  </w:footnote>
  <w:footnote w:type="continuationSeparator" w:id="0">
    <w:p w:rsidR="00186390" w:rsidRDefault="00186390" w:rsidP="0072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112911AE"/>
    <w:multiLevelType w:val="hybridMultilevel"/>
    <w:tmpl w:val="C92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8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32D0"/>
    <w:rsid w:val="00003631"/>
    <w:rsid w:val="00003D5C"/>
    <w:rsid w:val="00003F0D"/>
    <w:rsid w:val="000052CA"/>
    <w:rsid w:val="0000663F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20D8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21FC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C0E"/>
    <w:rsid w:val="0017029B"/>
    <w:rsid w:val="001724E5"/>
    <w:rsid w:val="00174C71"/>
    <w:rsid w:val="00180BD3"/>
    <w:rsid w:val="001820E1"/>
    <w:rsid w:val="001821DF"/>
    <w:rsid w:val="00185300"/>
    <w:rsid w:val="00185779"/>
    <w:rsid w:val="00185A20"/>
    <w:rsid w:val="00186390"/>
    <w:rsid w:val="001961E1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0635"/>
    <w:rsid w:val="001D1ED7"/>
    <w:rsid w:val="001D3D9A"/>
    <w:rsid w:val="001D4845"/>
    <w:rsid w:val="001D58C4"/>
    <w:rsid w:val="001D5CF7"/>
    <w:rsid w:val="001F0D1F"/>
    <w:rsid w:val="001F6F05"/>
    <w:rsid w:val="00201744"/>
    <w:rsid w:val="00202D74"/>
    <w:rsid w:val="002128E7"/>
    <w:rsid w:val="00226FF9"/>
    <w:rsid w:val="0023591C"/>
    <w:rsid w:val="00236CF2"/>
    <w:rsid w:val="0024008D"/>
    <w:rsid w:val="00243B07"/>
    <w:rsid w:val="00262EEB"/>
    <w:rsid w:val="00266ECB"/>
    <w:rsid w:val="00280063"/>
    <w:rsid w:val="00291160"/>
    <w:rsid w:val="00295FD0"/>
    <w:rsid w:val="002966C6"/>
    <w:rsid w:val="002A3DF2"/>
    <w:rsid w:val="002A407C"/>
    <w:rsid w:val="002A58B2"/>
    <w:rsid w:val="002C5316"/>
    <w:rsid w:val="002C64E6"/>
    <w:rsid w:val="002D19D0"/>
    <w:rsid w:val="002D25B0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0618"/>
    <w:rsid w:val="0032489D"/>
    <w:rsid w:val="00324FA7"/>
    <w:rsid w:val="003276EF"/>
    <w:rsid w:val="003315A1"/>
    <w:rsid w:val="0033365A"/>
    <w:rsid w:val="00337C4E"/>
    <w:rsid w:val="00346B9B"/>
    <w:rsid w:val="00347501"/>
    <w:rsid w:val="00353A9C"/>
    <w:rsid w:val="00362152"/>
    <w:rsid w:val="00363E97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D6B30"/>
    <w:rsid w:val="003E2734"/>
    <w:rsid w:val="003F1CBF"/>
    <w:rsid w:val="003F439B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622E"/>
    <w:rsid w:val="00437204"/>
    <w:rsid w:val="00437970"/>
    <w:rsid w:val="00440550"/>
    <w:rsid w:val="0044549F"/>
    <w:rsid w:val="00446726"/>
    <w:rsid w:val="0044735D"/>
    <w:rsid w:val="00453580"/>
    <w:rsid w:val="00464AA9"/>
    <w:rsid w:val="0046614C"/>
    <w:rsid w:val="00471A3E"/>
    <w:rsid w:val="00472626"/>
    <w:rsid w:val="0047494B"/>
    <w:rsid w:val="0048116B"/>
    <w:rsid w:val="0048367C"/>
    <w:rsid w:val="00486635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07BF"/>
    <w:rsid w:val="004F168A"/>
    <w:rsid w:val="004F1757"/>
    <w:rsid w:val="005031E9"/>
    <w:rsid w:val="00511CA1"/>
    <w:rsid w:val="005213E0"/>
    <w:rsid w:val="005313C3"/>
    <w:rsid w:val="00531913"/>
    <w:rsid w:val="00541C67"/>
    <w:rsid w:val="00544134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17A7"/>
    <w:rsid w:val="005A4F6D"/>
    <w:rsid w:val="005A5BE2"/>
    <w:rsid w:val="005B59AA"/>
    <w:rsid w:val="005C3534"/>
    <w:rsid w:val="005C5530"/>
    <w:rsid w:val="005C600D"/>
    <w:rsid w:val="005C6756"/>
    <w:rsid w:val="005C6C99"/>
    <w:rsid w:val="005C716E"/>
    <w:rsid w:val="005D0035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28CE"/>
    <w:rsid w:val="006250F6"/>
    <w:rsid w:val="00625519"/>
    <w:rsid w:val="00632645"/>
    <w:rsid w:val="00636736"/>
    <w:rsid w:val="0063767D"/>
    <w:rsid w:val="00640F70"/>
    <w:rsid w:val="006423F9"/>
    <w:rsid w:val="00650ED1"/>
    <w:rsid w:val="00651A02"/>
    <w:rsid w:val="00651B14"/>
    <w:rsid w:val="00656459"/>
    <w:rsid w:val="00660E53"/>
    <w:rsid w:val="006709A2"/>
    <w:rsid w:val="006715F8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2A39"/>
    <w:rsid w:val="006B39E9"/>
    <w:rsid w:val="006B7694"/>
    <w:rsid w:val="006C3C0B"/>
    <w:rsid w:val="006C53C8"/>
    <w:rsid w:val="006C6873"/>
    <w:rsid w:val="006D56E6"/>
    <w:rsid w:val="006D6FAA"/>
    <w:rsid w:val="006D721A"/>
    <w:rsid w:val="006E02FC"/>
    <w:rsid w:val="006E625C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163DD"/>
    <w:rsid w:val="00726BAD"/>
    <w:rsid w:val="00727632"/>
    <w:rsid w:val="00727820"/>
    <w:rsid w:val="0073122A"/>
    <w:rsid w:val="00733628"/>
    <w:rsid w:val="00734EAA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0C3A"/>
    <w:rsid w:val="00773B54"/>
    <w:rsid w:val="00774876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D7FC5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27B84"/>
    <w:rsid w:val="00837ECF"/>
    <w:rsid w:val="00841C7D"/>
    <w:rsid w:val="0084560F"/>
    <w:rsid w:val="008556DE"/>
    <w:rsid w:val="00855DF3"/>
    <w:rsid w:val="00861439"/>
    <w:rsid w:val="00861527"/>
    <w:rsid w:val="00864861"/>
    <w:rsid w:val="00866ED6"/>
    <w:rsid w:val="0088261F"/>
    <w:rsid w:val="00883D8D"/>
    <w:rsid w:val="00885882"/>
    <w:rsid w:val="0089314B"/>
    <w:rsid w:val="008A56C6"/>
    <w:rsid w:val="008A61F5"/>
    <w:rsid w:val="008A64D6"/>
    <w:rsid w:val="008B6043"/>
    <w:rsid w:val="008C192E"/>
    <w:rsid w:val="008C45C9"/>
    <w:rsid w:val="008D2685"/>
    <w:rsid w:val="008D2838"/>
    <w:rsid w:val="008E46E3"/>
    <w:rsid w:val="008E4D0B"/>
    <w:rsid w:val="008E4DFD"/>
    <w:rsid w:val="008E64CF"/>
    <w:rsid w:val="0090076E"/>
    <w:rsid w:val="00902D23"/>
    <w:rsid w:val="00902E8F"/>
    <w:rsid w:val="00903F45"/>
    <w:rsid w:val="0091027D"/>
    <w:rsid w:val="0091793D"/>
    <w:rsid w:val="00921ACA"/>
    <w:rsid w:val="00923907"/>
    <w:rsid w:val="009325D3"/>
    <w:rsid w:val="00935ABB"/>
    <w:rsid w:val="00936041"/>
    <w:rsid w:val="00947081"/>
    <w:rsid w:val="00951CCF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A3422"/>
    <w:rsid w:val="00AB026E"/>
    <w:rsid w:val="00AB4EAF"/>
    <w:rsid w:val="00AC1D6F"/>
    <w:rsid w:val="00AC23E5"/>
    <w:rsid w:val="00AC372D"/>
    <w:rsid w:val="00AC5F91"/>
    <w:rsid w:val="00AC6202"/>
    <w:rsid w:val="00AC6C1C"/>
    <w:rsid w:val="00AF1093"/>
    <w:rsid w:val="00AF4F0A"/>
    <w:rsid w:val="00AF5393"/>
    <w:rsid w:val="00B15F3B"/>
    <w:rsid w:val="00B168F1"/>
    <w:rsid w:val="00B36262"/>
    <w:rsid w:val="00B41428"/>
    <w:rsid w:val="00B41B83"/>
    <w:rsid w:val="00B46CB4"/>
    <w:rsid w:val="00B50B94"/>
    <w:rsid w:val="00B51087"/>
    <w:rsid w:val="00B52977"/>
    <w:rsid w:val="00B52CA6"/>
    <w:rsid w:val="00B60D22"/>
    <w:rsid w:val="00B638E9"/>
    <w:rsid w:val="00B66480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34A0"/>
    <w:rsid w:val="00BB6ACE"/>
    <w:rsid w:val="00BC258E"/>
    <w:rsid w:val="00BC3603"/>
    <w:rsid w:val="00BC6CB2"/>
    <w:rsid w:val="00BE292E"/>
    <w:rsid w:val="00BE516C"/>
    <w:rsid w:val="00BF2C77"/>
    <w:rsid w:val="00BF3105"/>
    <w:rsid w:val="00BF76E3"/>
    <w:rsid w:val="00C013D6"/>
    <w:rsid w:val="00C01BE6"/>
    <w:rsid w:val="00C02ABC"/>
    <w:rsid w:val="00C27538"/>
    <w:rsid w:val="00C27F01"/>
    <w:rsid w:val="00C350DB"/>
    <w:rsid w:val="00C35614"/>
    <w:rsid w:val="00C36422"/>
    <w:rsid w:val="00C36541"/>
    <w:rsid w:val="00C422B1"/>
    <w:rsid w:val="00C50CEA"/>
    <w:rsid w:val="00C50F79"/>
    <w:rsid w:val="00C52D31"/>
    <w:rsid w:val="00C5305B"/>
    <w:rsid w:val="00C53AFB"/>
    <w:rsid w:val="00C57A4C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13B1D"/>
    <w:rsid w:val="00D22740"/>
    <w:rsid w:val="00D23261"/>
    <w:rsid w:val="00D24857"/>
    <w:rsid w:val="00D303E4"/>
    <w:rsid w:val="00D33A73"/>
    <w:rsid w:val="00D349BB"/>
    <w:rsid w:val="00D36F30"/>
    <w:rsid w:val="00D37354"/>
    <w:rsid w:val="00D479FC"/>
    <w:rsid w:val="00D52686"/>
    <w:rsid w:val="00D52742"/>
    <w:rsid w:val="00D55791"/>
    <w:rsid w:val="00D6200C"/>
    <w:rsid w:val="00D63336"/>
    <w:rsid w:val="00D64258"/>
    <w:rsid w:val="00D70BCE"/>
    <w:rsid w:val="00D70CA0"/>
    <w:rsid w:val="00D72EEB"/>
    <w:rsid w:val="00D80A42"/>
    <w:rsid w:val="00D80F74"/>
    <w:rsid w:val="00D8130F"/>
    <w:rsid w:val="00D85CD2"/>
    <w:rsid w:val="00D909D0"/>
    <w:rsid w:val="00D970AF"/>
    <w:rsid w:val="00DA391A"/>
    <w:rsid w:val="00DA7FE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32BE"/>
    <w:rsid w:val="00E07B53"/>
    <w:rsid w:val="00E124C6"/>
    <w:rsid w:val="00E157F4"/>
    <w:rsid w:val="00E20320"/>
    <w:rsid w:val="00E20646"/>
    <w:rsid w:val="00E2146A"/>
    <w:rsid w:val="00E21ED9"/>
    <w:rsid w:val="00E26649"/>
    <w:rsid w:val="00E26F1B"/>
    <w:rsid w:val="00E31CBB"/>
    <w:rsid w:val="00E334CD"/>
    <w:rsid w:val="00E408F6"/>
    <w:rsid w:val="00E45C39"/>
    <w:rsid w:val="00E508E2"/>
    <w:rsid w:val="00E55D80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A24C8"/>
    <w:rsid w:val="00EA3C70"/>
    <w:rsid w:val="00EB2544"/>
    <w:rsid w:val="00EB42B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1C46"/>
    <w:rsid w:val="00F222BB"/>
    <w:rsid w:val="00F25E48"/>
    <w:rsid w:val="00F4142A"/>
    <w:rsid w:val="00F52C50"/>
    <w:rsid w:val="00F6288A"/>
    <w:rsid w:val="00F661D2"/>
    <w:rsid w:val="00F66D84"/>
    <w:rsid w:val="00F811EC"/>
    <w:rsid w:val="00F817C2"/>
    <w:rsid w:val="00F86FEA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713D"/>
    <w:rsid w:val="00FC78DE"/>
    <w:rsid w:val="00FD3896"/>
    <w:rsid w:val="00FD621E"/>
    <w:rsid w:val="00FE27D9"/>
    <w:rsid w:val="00FE2881"/>
    <w:rsid w:val="00FE6426"/>
    <w:rsid w:val="00FF0A59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52977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15805-5F38-4B9D-B341-630AC68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26</cp:revision>
  <cp:lastPrinted>2022-05-18T07:38:00Z</cp:lastPrinted>
  <dcterms:created xsi:type="dcterms:W3CDTF">2022-05-13T05:38:00Z</dcterms:created>
  <dcterms:modified xsi:type="dcterms:W3CDTF">2022-05-18T07:58:00Z</dcterms:modified>
</cp:coreProperties>
</file>